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4B79" w14:textId="77777777" w:rsidR="00526E33" w:rsidRPr="00526E33" w:rsidRDefault="00526E33" w:rsidP="00526E33">
      <w:pPr>
        <w:spacing w:before="100" w:beforeAutospacing="1" w:after="100" w:afterAutospacing="1"/>
        <w:outlineLvl w:val="0"/>
        <w:rPr>
          <w:rFonts w:eastAsia="Times New Roman" w:cs="Times New Roman"/>
          <w:b/>
          <w:bCs/>
          <w:color w:val="000000"/>
          <w:kern w:val="36"/>
          <w:sz w:val="32"/>
          <w:szCs w:val="32"/>
          <w:lang w:val="en-GB" w:eastAsia="nb-NO"/>
          <w14:ligatures w14:val="none"/>
        </w:rPr>
      </w:pPr>
      <w:r w:rsidRPr="00526E33">
        <w:rPr>
          <w:rFonts w:eastAsia="Times New Roman" w:cs="Times New Roman"/>
          <w:b/>
          <w:bCs/>
          <w:color w:val="000000"/>
          <w:kern w:val="36"/>
          <w:sz w:val="32"/>
          <w:szCs w:val="32"/>
          <w:lang w:val="en-GB" w:eastAsia="nb-NO"/>
          <w14:ligatures w14:val="none"/>
        </w:rPr>
        <w:t>Lipedema at IbsenSykehusene: Health-Related Quality of Life and Disease-Specific Symptom Burden among Women Undergoing Lipedema Surgery versus Consultation Only</w:t>
      </w:r>
    </w:p>
    <w:p w14:paraId="1A3E1BC7"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August 2021 – August 2025</w:t>
      </w:r>
    </w:p>
    <w:p w14:paraId="5BBC6B52" w14:textId="7E901DF9" w:rsidR="00526E33" w:rsidRPr="00526E33" w:rsidRDefault="00526E33" w:rsidP="00526E33">
      <w:pPr>
        <w:rPr>
          <w:rFonts w:ascii="Times New Roman" w:eastAsia="Times New Roman" w:hAnsi="Times New Roman" w:cs="Times New Roman"/>
          <w:kern w:val="0"/>
          <w:lang w:val="en-GB" w:eastAsia="nb-NO"/>
          <w14:ligatures w14:val="none"/>
        </w:rPr>
      </w:pPr>
    </w:p>
    <w:p w14:paraId="666E1FD0" w14:textId="77777777" w:rsidR="00526E33" w:rsidRPr="00526E33" w:rsidRDefault="00526E33" w:rsidP="00526E33">
      <w:pPr>
        <w:spacing w:before="100" w:beforeAutospacing="1" w:after="100" w:afterAutospacing="1"/>
        <w:outlineLvl w:val="1"/>
        <w:rPr>
          <w:rFonts w:eastAsia="Times New Roman" w:cs="Times New Roman"/>
          <w:b/>
          <w:bCs/>
          <w:color w:val="000000"/>
          <w:kern w:val="0"/>
          <w:sz w:val="36"/>
          <w:szCs w:val="36"/>
          <w:lang w:val="en-GB" w:eastAsia="nb-NO"/>
          <w14:ligatures w14:val="none"/>
        </w:rPr>
      </w:pPr>
      <w:r w:rsidRPr="00526E33">
        <w:rPr>
          <w:rFonts w:eastAsia="Times New Roman" w:cs="Times New Roman"/>
          <w:b/>
          <w:bCs/>
          <w:color w:val="000000"/>
          <w:kern w:val="0"/>
          <w:sz w:val="36"/>
          <w:szCs w:val="36"/>
          <w:lang w:val="en-GB" w:eastAsia="nb-NO"/>
          <w14:ligatures w14:val="none"/>
        </w:rPr>
        <w:t>Abstract</w:t>
      </w:r>
    </w:p>
    <w:p w14:paraId="29C749D4"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Background:</w:t>
      </w:r>
      <w:r w:rsidRPr="00526E33">
        <w:rPr>
          <w:rFonts w:eastAsia="Times New Roman" w:cs="Times New Roman"/>
          <w:color w:val="000000"/>
          <w:kern w:val="0"/>
          <w:lang w:val="en-GB" w:eastAsia="nb-NO"/>
          <w14:ligatures w14:val="none"/>
        </w:rPr>
        <w:t> Lipedema is associated with pain, bruising, heaviness and limitations in physical and social functioning. Real-world patient-reported outcome data are important to describe disease burden and inform clinical pathways.</w:t>
      </w:r>
    </w:p>
    <w:p w14:paraId="5D6806A2"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Methods:</w:t>
      </w:r>
      <w:r w:rsidRPr="00526E33">
        <w:rPr>
          <w:rFonts w:eastAsia="Times New Roman" w:cs="Times New Roman"/>
          <w:color w:val="000000"/>
          <w:kern w:val="0"/>
          <w:lang w:val="en-GB" w:eastAsia="nb-NO"/>
          <w14:ligatures w14:val="none"/>
        </w:rPr>
        <w:t> Anonymous cross-sectional electronic survey of women diagnosed with lipedema at IbsenSykehusene (Aug 2021–Aug 2025). The survey was </w:t>
      </w:r>
      <w:r w:rsidRPr="00526E33">
        <w:rPr>
          <w:rFonts w:eastAsia="Times New Roman" w:cs="Times New Roman"/>
          <w:b/>
          <w:bCs/>
          <w:color w:val="000000"/>
          <w:kern w:val="0"/>
          <w:lang w:val="en-GB" w:eastAsia="nb-NO"/>
          <w14:ligatures w14:val="none"/>
        </w:rPr>
        <w:t>sent to 719 participants who had all accepted automated electronic communication to ensure a single communication pathway</w:t>
      </w:r>
      <w:r w:rsidRPr="00526E33">
        <w:rPr>
          <w:rFonts w:eastAsia="Times New Roman" w:cs="Times New Roman"/>
          <w:color w:val="000000"/>
          <w:kern w:val="0"/>
          <w:lang w:val="en-GB" w:eastAsia="nb-NO"/>
          <w14:ligatures w14:val="none"/>
        </w:rPr>
        <w:t>; patients who had opted out were not contacted. Outcomes included RAND-12 domain scores (0–100; higher = better), unweighted Physical Composite Score (PCS) and Mental Composite Score (MCS) (study-specific, unweighted means of domains), four lipedema-specific symptom frequency items (0–4; higher = worse), employment status, BMI and waist-to-height ratio (WtHR). Primary comparison: consultation only versus any operated. Analyses used available-case denominators.</w:t>
      </w:r>
    </w:p>
    <w:p w14:paraId="7AD34CAA"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Results:</w:t>
      </w:r>
      <w:r w:rsidRPr="00526E33">
        <w:rPr>
          <w:rFonts w:eastAsia="Times New Roman" w:cs="Times New Roman"/>
          <w:color w:val="000000"/>
          <w:kern w:val="0"/>
          <w:lang w:val="en-GB" w:eastAsia="nb-NO"/>
          <w14:ligatures w14:val="none"/>
        </w:rPr>
        <w:t> 202 respondents (consultation only n = 114; operated any n = 88). Operated respondents reported higher PCS (mean difference 15.2; 95% CI 7.7–22.7) and higher MCS (mean difference 15.3; 95% CI 8.6–22.0). Lipedema symptom frequency and the symptom composite were lower in the operated group. Work participation differed meaningfully (higher full-time employment, lower sick leave/disability among operated respondents). WtHR and BMI were used to contextualize adiposity phenotype.</w:t>
      </w:r>
    </w:p>
    <w:p w14:paraId="17311178"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Conclusions:</w:t>
      </w:r>
      <w:r w:rsidRPr="00526E33">
        <w:rPr>
          <w:rFonts w:eastAsia="Times New Roman" w:cs="Times New Roman"/>
          <w:color w:val="000000"/>
          <w:kern w:val="0"/>
          <w:lang w:val="en-GB" w:eastAsia="nb-NO"/>
          <w14:ligatures w14:val="none"/>
        </w:rPr>
        <w:t> In this real-world clinic population, surgical treatment delivered within a consistent pathway was associated with meaningful improvements in physical and mental health and reductions in lipedema symptom burden. These practice-based findings support the clinical purpose of the pathway while acknowledging the limits of cross-sectional, anonymous data.</w:t>
      </w:r>
    </w:p>
    <w:p w14:paraId="5077D7DF" w14:textId="79DACC18" w:rsidR="00526E33" w:rsidRPr="00526E33" w:rsidRDefault="00526E33" w:rsidP="00526E33">
      <w:pPr>
        <w:rPr>
          <w:rFonts w:eastAsia="Times New Roman" w:cs="Times New Roman"/>
          <w:kern w:val="0"/>
          <w:lang w:val="en-GB" w:eastAsia="nb-NO"/>
          <w14:ligatures w14:val="none"/>
        </w:rPr>
      </w:pPr>
    </w:p>
    <w:p w14:paraId="20A17775" w14:textId="77777777" w:rsidR="00526E33" w:rsidRPr="00526E33" w:rsidRDefault="00526E33" w:rsidP="00526E33">
      <w:pPr>
        <w:spacing w:before="100" w:beforeAutospacing="1" w:after="100" w:afterAutospacing="1"/>
        <w:outlineLvl w:val="1"/>
        <w:rPr>
          <w:rFonts w:eastAsia="Times New Roman" w:cs="Times New Roman"/>
          <w:b/>
          <w:bCs/>
          <w:color w:val="000000"/>
          <w:kern w:val="0"/>
          <w:sz w:val="36"/>
          <w:szCs w:val="36"/>
          <w:lang w:val="en-GB" w:eastAsia="nb-NO"/>
          <w14:ligatures w14:val="none"/>
        </w:rPr>
      </w:pPr>
      <w:r w:rsidRPr="00526E33">
        <w:rPr>
          <w:rFonts w:eastAsia="Times New Roman" w:cs="Times New Roman"/>
          <w:b/>
          <w:bCs/>
          <w:color w:val="000000"/>
          <w:kern w:val="0"/>
          <w:sz w:val="36"/>
          <w:szCs w:val="36"/>
          <w:lang w:val="en-GB" w:eastAsia="nb-NO"/>
          <w14:ligatures w14:val="none"/>
        </w:rPr>
        <w:t>Introduction</w:t>
      </w:r>
    </w:p>
    <w:p w14:paraId="6D707721"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 xml:space="preserve">Lipedema is a chronic adipose tissue disorder marked by disproportionate fat deposition in the limbs, pain, easy bruising, heaviness and functional limitations. Although described early in the 20th century, the condition remains incompletely characterized and recent consensus statements and guidelines have helped </w:t>
      </w:r>
      <w:r w:rsidRPr="00526E33">
        <w:rPr>
          <w:rFonts w:eastAsia="Times New Roman" w:cs="Times New Roman"/>
          <w:color w:val="000000"/>
          <w:kern w:val="0"/>
          <w:lang w:val="en-GB" w:eastAsia="nb-NO"/>
          <w14:ligatures w14:val="none"/>
        </w:rPr>
        <w:lastRenderedPageBreak/>
        <w:t>standardise care. Patients frequently report impaired work participation and social activity; systematic collection of patient-reported outcomes is therefore important to improve care and to evaluate the effect of interventions such as surgery.</w:t>
      </w:r>
    </w:p>
    <w:p w14:paraId="0E970C9A" w14:textId="06A3D2B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 xml:space="preserve">IbsenSykehusene is a private specialist provider in Norway with three hospitals (Porsgrunn, Gardermoen and Gjøvik). The first lipedema surgery in our programme was performed on 22 August 2021. Over the four-year period to 28 August 2025, 285 patients underwent lipedema surgery (700 procedures). All surgical patients were female; age among surgical patients ranged 18–73 years (mean 42.4; median 43). All patients were assessed </w:t>
      </w:r>
      <w:r w:rsidR="001B7DC8">
        <w:rPr>
          <w:rFonts w:eastAsia="Times New Roman" w:cs="Times New Roman"/>
          <w:color w:val="000000"/>
          <w:kern w:val="0"/>
          <w:lang w:val="en-GB" w:eastAsia="nb-NO"/>
          <w14:ligatures w14:val="none"/>
        </w:rPr>
        <w:t xml:space="preserve">and operated on </w:t>
      </w:r>
      <w:r w:rsidRPr="00526E33">
        <w:rPr>
          <w:rFonts w:eastAsia="Times New Roman" w:cs="Times New Roman"/>
          <w:color w:val="000000"/>
          <w:kern w:val="0"/>
          <w:lang w:val="en-GB" w:eastAsia="nb-NO"/>
          <w14:ligatures w14:val="none"/>
        </w:rPr>
        <w:t>by the same two surgeons, providing diagnostic and treatment consistency.</w:t>
      </w:r>
    </w:p>
    <w:p w14:paraId="53CB1ABA" w14:textId="59D4B179" w:rsidR="00526E33" w:rsidRPr="00526E33" w:rsidRDefault="00526E33" w:rsidP="00526E33">
      <w:pPr>
        <w:rPr>
          <w:rFonts w:ascii="Times New Roman" w:eastAsia="Times New Roman" w:hAnsi="Times New Roman" w:cs="Times New Roman"/>
          <w:kern w:val="0"/>
          <w:lang w:val="en-GB" w:eastAsia="nb-NO"/>
          <w14:ligatures w14:val="none"/>
        </w:rPr>
      </w:pPr>
    </w:p>
    <w:p w14:paraId="31CD46E9" w14:textId="77777777" w:rsidR="00526E33" w:rsidRPr="00526E33" w:rsidRDefault="00526E33" w:rsidP="00526E33">
      <w:pPr>
        <w:spacing w:before="100" w:beforeAutospacing="1" w:after="100" w:afterAutospacing="1"/>
        <w:outlineLvl w:val="1"/>
        <w:rPr>
          <w:rFonts w:eastAsia="Times New Roman" w:cs="Times New Roman"/>
          <w:b/>
          <w:bCs/>
          <w:color w:val="000000"/>
          <w:kern w:val="0"/>
          <w:sz w:val="36"/>
          <w:szCs w:val="36"/>
          <w:lang w:val="en-GB" w:eastAsia="nb-NO"/>
          <w14:ligatures w14:val="none"/>
        </w:rPr>
      </w:pPr>
      <w:r w:rsidRPr="00526E33">
        <w:rPr>
          <w:rFonts w:eastAsia="Times New Roman" w:cs="Times New Roman"/>
          <w:b/>
          <w:bCs/>
          <w:color w:val="000000"/>
          <w:kern w:val="0"/>
          <w:sz w:val="36"/>
          <w:szCs w:val="36"/>
          <w:lang w:val="en-GB" w:eastAsia="nb-NO"/>
          <w14:ligatures w14:val="none"/>
        </w:rPr>
        <w:t>Methods</w:t>
      </w:r>
    </w:p>
    <w:p w14:paraId="2B261D5B"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t>Design and recruitment</w:t>
      </w:r>
    </w:p>
    <w:p w14:paraId="7040F530"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Anonymous cross-sectional electronic survey administered as a quality improvement initiative to women diagnosed with lipedema at IbsenSykehusene between August 2021 and August 2025. The survey was </w:t>
      </w:r>
      <w:r w:rsidRPr="00526E33">
        <w:rPr>
          <w:rFonts w:eastAsia="Times New Roman" w:cs="Times New Roman"/>
          <w:b/>
          <w:bCs/>
          <w:color w:val="000000"/>
          <w:kern w:val="0"/>
          <w:lang w:val="en-GB" w:eastAsia="nb-NO"/>
          <w14:ligatures w14:val="none"/>
        </w:rPr>
        <w:t>sent to 719 participants who had all accepted automated electronic communication to ensure a single communication pathway</w:t>
      </w:r>
      <w:r w:rsidRPr="00526E33">
        <w:rPr>
          <w:rFonts w:eastAsia="Times New Roman" w:cs="Times New Roman"/>
          <w:color w:val="000000"/>
          <w:kern w:val="0"/>
          <w:lang w:val="en-GB" w:eastAsia="nb-NO"/>
          <w14:ligatures w14:val="none"/>
        </w:rPr>
        <w:t>; invitations were distributed by automated email only to patients who had consented to receive automated electronic communications, and patients who had opted out were not contacted. This ensured a consistent, auditable distribution channel and allowed follow-up reminders where appropriate, but may introduce selection bias.</w:t>
      </w:r>
    </w:p>
    <w:p w14:paraId="070B1712"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Respondents self-reported treatment status and were grouped as consultation only (not operated) or operated (any: operated at IbsenSykehusene and/or elsewhere). Primary analyses compare consultation only vs operated (any); sensitivity analyses compare consultation only vs each operated subgroup.</w:t>
      </w:r>
    </w:p>
    <w:p w14:paraId="4F80BEEB"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t>Measures</w:t>
      </w:r>
    </w:p>
    <w:p w14:paraId="11F6B6DF" w14:textId="77777777" w:rsidR="00785B59" w:rsidRDefault="00526E33" w:rsidP="00785B59">
      <w:pPr>
        <w:numPr>
          <w:ilvl w:val="0"/>
          <w:numId w:val="1"/>
        </w:num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RAND-12</w:t>
      </w:r>
      <w:r w:rsidRPr="00526E33">
        <w:rPr>
          <w:rFonts w:eastAsia="Times New Roman" w:cs="Times New Roman"/>
          <w:color w:val="000000"/>
          <w:kern w:val="0"/>
          <w:lang w:val="en-GB" w:eastAsia="nb-NO"/>
          <w14:ligatures w14:val="none"/>
        </w:rPr>
        <w:t xml:space="preserve">: domain scores 0–100 (higher = better). </w:t>
      </w:r>
    </w:p>
    <w:p w14:paraId="19290BC0" w14:textId="4CD6A07E" w:rsidR="00526E33" w:rsidRDefault="00526E33" w:rsidP="00785B59">
      <w:pPr>
        <w:spacing w:before="100" w:beforeAutospacing="1" w:after="100" w:afterAutospacing="1"/>
        <w:ind w:left="720"/>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 xml:space="preserve">Two unweighted composite measures were derived for interpretation: </w:t>
      </w:r>
      <w:r w:rsidR="00785B59" w:rsidRPr="00785B59">
        <w:rPr>
          <w:rFonts w:eastAsia="Times New Roman" w:cs="Times New Roman"/>
          <w:color w:val="000000"/>
          <w:kern w:val="0"/>
          <w:lang w:val="en-GB" w:eastAsia="nb-NO"/>
          <w14:ligatures w14:val="none"/>
        </w:rPr>
        <w:t xml:space="preserve">Physical Component Score (PCS) </w:t>
      </w:r>
      <w:r w:rsidRPr="00526E33">
        <w:rPr>
          <w:rFonts w:eastAsia="Times New Roman" w:cs="Times New Roman"/>
          <w:color w:val="000000"/>
          <w:kern w:val="0"/>
          <w:lang w:val="en-GB" w:eastAsia="nb-NO"/>
          <w14:ligatures w14:val="none"/>
        </w:rPr>
        <w:t>PCS = mean(PF, RP, BP, GH) and MCS = mean(VT, SF, RE, MH). These composites are study-specific unweighted summaries and are not equivalent to SF-12 norm-based PCS/MCS. RAND-12 was administered using the Norwegian FHI translation; tables use official English item wording for readability.</w:t>
      </w:r>
    </w:p>
    <w:p w14:paraId="1B922BE4" w14:textId="77777777" w:rsidR="00FE62AC" w:rsidRPr="00785B59" w:rsidRDefault="00FE62AC" w:rsidP="00FE62AC">
      <w:pPr>
        <w:numPr>
          <w:ilvl w:val="0"/>
          <w:numId w:val="1"/>
        </w:numPr>
        <w:spacing w:before="100" w:beforeAutospacing="1" w:after="100" w:afterAutospacing="1"/>
        <w:rPr>
          <w:rFonts w:eastAsia="Times New Roman" w:cs="Times New Roman"/>
          <w:color w:val="000000"/>
          <w:kern w:val="0"/>
          <w:lang w:val="en-GB" w:eastAsia="nb-NO"/>
          <w14:ligatures w14:val="none"/>
        </w:rPr>
      </w:pPr>
      <w:r>
        <w:rPr>
          <w:rFonts w:eastAsia="Times New Roman" w:cs="Times New Roman"/>
          <w:b/>
          <w:bCs/>
          <w:kern w:val="0"/>
          <w:lang w:eastAsia="nb-NO"/>
          <w14:ligatures w14:val="none"/>
        </w:rPr>
        <w:t xml:space="preserve">RAND </w:t>
      </w:r>
      <w:r w:rsidRPr="00785B59">
        <w:rPr>
          <w:rFonts w:eastAsia="Times New Roman" w:cs="Times New Roman"/>
          <w:b/>
          <w:bCs/>
          <w:kern w:val="0"/>
          <w:lang w:eastAsia="nb-NO"/>
          <w14:ligatures w14:val="none"/>
        </w:rPr>
        <w:t>Scale Definitions:</w:t>
      </w:r>
    </w:p>
    <w:p w14:paraId="51AA961B" w14:textId="77777777" w:rsidR="00FE62AC" w:rsidRPr="00785B59" w:rsidRDefault="00FE62AC" w:rsidP="00FE62AC">
      <w:pPr>
        <w:numPr>
          <w:ilvl w:val="1"/>
          <w:numId w:val="1"/>
        </w:numPr>
        <w:spacing w:before="100" w:beforeAutospacing="1" w:after="100" w:afterAutospacing="1"/>
        <w:rPr>
          <w:rFonts w:eastAsia="Times New Roman" w:cs="Times New Roman"/>
          <w:color w:val="000000"/>
          <w:kern w:val="0"/>
          <w:lang w:val="en-GB" w:eastAsia="nb-NO"/>
          <w14:ligatures w14:val="none"/>
        </w:rPr>
      </w:pPr>
      <w:r w:rsidRPr="00785B59">
        <w:rPr>
          <w:b/>
          <w:bCs/>
          <w:lang w:val="en-GB" w:eastAsia="nb-NO"/>
        </w:rPr>
        <w:t>PCS (Physical Component Summary):</w:t>
      </w:r>
      <w:r w:rsidRPr="00785B59">
        <w:rPr>
          <w:lang w:val="en-GB" w:eastAsia="nb-NO"/>
        </w:rPr>
        <w:t> </w:t>
      </w:r>
      <w:r>
        <w:rPr>
          <w:lang w:val="en-GB" w:eastAsia="nb-NO"/>
        </w:rPr>
        <w:t>C</w:t>
      </w:r>
      <w:r w:rsidRPr="00785B59">
        <w:rPr>
          <w:lang w:val="en-GB" w:eastAsia="nb-NO"/>
        </w:rPr>
        <w:t>omposite score summarizing overall physical health, weighted by the following scales</w:t>
      </w:r>
      <w:r>
        <w:rPr>
          <w:lang w:val="en-GB" w:eastAsia="nb-NO"/>
        </w:rPr>
        <w:t>:</w:t>
      </w:r>
    </w:p>
    <w:p w14:paraId="184D6034" w14:textId="77777777" w:rsidR="00FE62AC" w:rsidRPr="00785B59" w:rsidRDefault="00FE62AC" w:rsidP="00FE62AC">
      <w:pPr>
        <w:numPr>
          <w:ilvl w:val="2"/>
          <w:numId w:val="1"/>
        </w:numPr>
        <w:spacing w:before="100" w:beforeAutospacing="1" w:after="100" w:afterAutospacing="1"/>
        <w:rPr>
          <w:rFonts w:eastAsia="Times New Roman" w:cs="Times New Roman"/>
          <w:color w:val="000000"/>
          <w:kern w:val="0"/>
          <w:lang w:val="en-GB" w:eastAsia="nb-NO"/>
          <w14:ligatures w14:val="none"/>
        </w:rPr>
      </w:pPr>
      <w:r w:rsidRPr="00785B59">
        <w:rPr>
          <w:b/>
          <w:bCs/>
          <w:lang w:val="en-GB" w:eastAsia="nb-NO"/>
        </w:rPr>
        <w:lastRenderedPageBreak/>
        <w:t>PF (Physical Functioning):</w:t>
      </w:r>
      <w:r w:rsidRPr="00785B59">
        <w:rPr>
          <w:lang w:val="en-GB" w:eastAsia="nb-NO"/>
        </w:rPr>
        <w:t> How well you can perform daily physical activities.</w:t>
      </w:r>
    </w:p>
    <w:p w14:paraId="6B706EEC" w14:textId="77777777" w:rsidR="00FE62AC" w:rsidRPr="00785B59" w:rsidRDefault="00FE62AC" w:rsidP="00FE62AC">
      <w:pPr>
        <w:numPr>
          <w:ilvl w:val="2"/>
          <w:numId w:val="1"/>
        </w:numPr>
        <w:spacing w:before="100" w:beforeAutospacing="1" w:after="100" w:afterAutospacing="1"/>
        <w:rPr>
          <w:rFonts w:eastAsia="Times New Roman" w:cs="Times New Roman"/>
          <w:color w:val="000000"/>
          <w:kern w:val="0"/>
          <w:lang w:val="en-GB" w:eastAsia="nb-NO"/>
          <w14:ligatures w14:val="none"/>
        </w:rPr>
      </w:pPr>
      <w:r w:rsidRPr="00785B59">
        <w:rPr>
          <w:b/>
          <w:bCs/>
          <w:lang w:val="en-GB" w:eastAsia="nb-NO"/>
        </w:rPr>
        <w:t>RP (Role Physical):</w:t>
      </w:r>
      <w:r w:rsidRPr="00785B59">
        <w:rPr>
          <w:lang w:val="en-GB" w:eastAsia="nb-NO"/>
        </w:rPr>
        <w:t> Limitations in physical activities due to health problems.</w:t>
      </w:r>
    </w:p>
    <w:p w14:paraId="535C513D" w14:textId="77777777" w:rsidR="00FE62AC" w:rsidRPr="00785B59" w:rsidRDefault="00FE62AC" w:rsidP="00FE62AC">
      <w:pPr>
        <w:numPr>
          <w:ilvl w:val="2"/>
          <w:numId w:val="1"/>
        </w:numPr>
        <w:spacing w:before="100" w:beforeAutospacing="1" w:after="100" w:afterAutospacing="1"/>
        <w:rPr>
          <w:rFonts w:eastAsia="Times New Roman" w:cs="Times New Roman"/>
          <w:color w:val="000000"/>
          <w:kern w:val="0"/>
          <w:lang w:val="en-GB" w:eastAsia="nb-NO"/>
          <w14:ligatures w14:val="none"/>
        </w:rPr>
      </w:pPr>
      <w:r w:rsidRPr="00785B59">
        <w:rPr>
          <w:b/>
          <w:bCs/>
          <w:lang w:val="en-GB" w:eastAsia="nb-NO"/>
        </w:rPr>
        <w:t>BP (Bodily Pain):</w:t>
      </w:r>
      <w:r w:rsidRPr="00785B59">
        <w:rPr>
          <w:lang w:val="en-GB" w:eastAsia="nb-NO"/>
        </w:rPr>
        <w:t> The severity of your body pain.</w:t>
      </w:r>
    </w:p>
    <w:p w14:paraId="17A57498" w14:textId="77777777" w:rsidR="00FE62AC" w:rsidRPr="00785B59" w:rsidRDefault="00FE62AC" w:rsidP="00FE62AC">
      <w:pPr>
        <w:numPr>
          <w:ilvl w:val="2"/>
          <w:numId w:val="1"/>
        </w:numPr>
        <w:spacing w:before="100" w:beforeAutospacing="1" w:after="100" w:afterAutospacing="1"/>
        <w:rPr>
          <w:rFonts w:eastAsia="Times New Roman" w:cs="Times New Roman"/>
          <w:color w:val="000000"/>
          <w:kern w:val="0"/>
          <w:lang w:val="en-GB" w:eastAsia="nb-NO"/>
          <w14:ligatures w14:val="none"/>
        </w:rPr>
      </w:pPr>
      <w:r w:rsidRPr="00785B59">
        <w:rPr>
          <w:b/>
          <w:bCs/>
          <w:lang w:val="en-GB" w:eastAsia="nb-NO"/>
        </w:rPr>
        <w:t>GH (General Health):</w:t>
      </w:r>
      <w:r w:rsidRPr="00785B59">
        <w:rPr>
          <w:lang w:val="en-GB" w:eastAsia="nb-NO"/>
        </w:rPr>
        <w:t> Your perception of your overall health and health outlook. </w:t>
      </w:r>
    </w:p>
    <w:p w14:paraId="4176A01E" w14:textId="77777777" w:rsidR="00FE62AC" w:rsidRDefault="00FE62AC" w:rsidP="00FE62AC">
      <w:pPr>
        <w:numPr>
          <w:ilvl w:val="1"/>
          <w:numId w:val="1"/>
        </w:numPr>
        <w:spacing w:before="100" w:beforeAutospacing="1" w:after="100" w:afterAutospacing="1"/>
        <w:rPr>
          <w:rFonts w:eastAsia="Times New Roman" w:cs="Times New Roman"/>
          <w:color w:val="000000"/>
          <w:kern w:val="0"/>
          <w:lang w:val="en-GB" w:eastAsia="nb-NO"/>
          <w14:ligatures w14:val="none"/>
        </w:rPr>
      </w:pPr>
      <w:r>
        <w:rPr>
          <w:b/>
          <w:bCs/>
          <w:lang w:val="en-GB" w:eastAsia="nb-NO"/>
        </w:rPr>
        <w:t>MCS (Mental Component Summary):</w:t>
      </w:r>
      <w:r>
        <w:rPr>
          <w:rFonts w:eastAsia="Times New Roman" w:cs="Times New Roman"/>
          <w:color w:val="000000"/>
          <w:kern w:val="0"/>
          <w:lang w:val="en-GB" w:eastAsia="nb-NO"/>
          <w14:ligatures w14:val="none"/>
        </w:rPr>
        <w:t xml:space="preserve"> A composite score summarizing   the components of the mental dimension:</w:t>
      </w:r>
    </w:p>
    <w:p w14:paraId="7EE981E0" w14:textId="77777777" w:rsidR="00FE62AC" w:rsidRDefault="00FE62AC" w:rsidP="00FE62AC">
      <w:pPr>
        <w:numPr>
          <w:ilvl w:val="2"/>
          <w:numId w:val="1"/>
        </w:numPr>
        <w:spacing w:before="100" w:beforeAutospacing="1" w:after="100" w:afterAutospacing="1"/>
        <w:rPr>
          <w:rFonts w:eastAsia="Times New Roman" w:cs="Times New Roman"/>
          <w:color w:val="000000"/>
          <w:kern w:val="0"/>
          <w:lang w:val="en-GB" w:eastAsia="nb-NO"/>
          <w14:ligatures w14:val="none"/>
        </w:rPr>
      </w:pPr>
      <w:r>
        <w:rPr>
          <w:b/>
          <w:bCs/>
          <w:lang w:val="en-GB" w:eastAsia="nb-NO"/>
        </w:rPr>
        <w:t>Vitality (VT)</w:t>
      </w:r>
    </w:p>
    <w:p w14:paraId="5F286C8D" w14:textId="77777777" w:rsidR="00FE62AC" w:rsidRPr="00FE62AC" w:rsidRDefault="00FE62AC" w:rsidP="00FE62AC">
      <w:pPr>
        <w:numPr>
          <w:ilvl w:val="2"/>
          <w:numId w:val="1"/>
        </w:numPr>
        <w:spacing w:before="100" w:beforeAutospacing="1" w:after="100" w:afterAutospacing="1"/>
        <w:rPr>
          <w:rFonts w:eastAsia="Times New Roman" w:cs="Times New Roman"/>
          <w:b/>
          <w:bCs/>
          <w:color w:val="000000"/>
          <w:kern w:val="0"/>
          <w:lang w:val="en-GB" w:eastAsia="nb-NO"/>
          <w14:ligatures w14:val="none"/>
        </w:rPr>
      </w:pPr>
      <w:r w:rsidRPr="00FE62AC">
        <w:rPr>
          <w:rFonts w:eastAsia="Times New Roman" w:cs="Times New Roman"/>
          <w:b/>
          <w:bCs/>
          <w:color w:val="000000"/>
          <w:kern w:val="0"/>
          <w:lang w:val="en-GB" w:eastAsia="nb-NO"/>
          <w14:ligatures w14:val="none"/>
        </w:rPr>
        <w:t>Social Functioning (SF)</w:t>
      </w:r>
    </w:p>
    <w:p w14:paraId="2CD958EE" w14:textId="77777777" w:rsidR="00FE62AC" w:rsidRPr="00FE62AC" w:rsidRDefault="00FE62AC" w:rsidP="00FE62AC">
      <w:pPr>
        <w:numPr>
          <w:ilvl w:val="2"/>
          <w:numId w:val="1"/>
        </w:numPr>
        <w:spacing w:before="100" w:beforeAutospacing="1" w:after="100" w:afterAutospacing="1"/>
        <w:rPr>
          <w:rFonts w:eastAsia="Times New Roman" w:cs="Times New Roman"/>
          <w:b/>
          <w:bCs/>
          <w:color w:val="000000"/>
          <w:kern w:val="0"/>
          <w:lang w:val="en-GB" w:eastAsia="nb-NO"/>
          <w14:ligatures w14:val="none"/>
        </w:rPr>
      </w:pPr>
      <w:r w:rsidRPr="00FE62AC">
        <w:rPr>
          <w:rFonts w:eastAsia="Times New Roman" w:cs="Times New Roman"/>
          <w:b/>
          <w:bCs/>
          <w:color w:val="000000"/>
          <w:kern w:val="0"/>
          <w:lang w:val="en-GB" w:eastAsia="nb-NO"/>
          <w14:ligatures w14:val="none"/>
        </w:rPr>
        <w:t>Role Emotional (RE)</w:t>
      </w:r>
    </w:p>
    <w:p w14:paraId="32F10DE1" w14:textId="6ADFDA95" w:rsidR="00FE62AC" w:rsidRDefault="00FE62AC" w:rsidP="00FE62AC">
      <w:pPr>
        <w:numPr>
          <w:ilvl w:val="2"/>
          <w:numId w:val="1"/>
        </w:numPr>
        <w:spacing w:before="100" w:beforeAutospacing="1" w:after="100" w:afterAutospacing="1"/>
        <w:rPr>
          <w:rFonts w:eastAsia="Times New Roman" w:cs="Times New Roman"/>
          <w:b/>
          <w:bCs/>
          <w:color w:val="000000"/>
          <w:kern w:val="0"/>
          <w:lang w:val="en-GB" w:eastAsia="nb-NO"/>
          <w14:ligatures w14:val="none"/>
        </w:rPr>
      </w:pPr>
      <w:r w:rsidRPr="00FE62AC">
        <w:rPr>
          <w:rFonts w:eastAsia="Times New Roman" w:cs="Times New Roman"/>
          <w:b/>
          <w:bCs/>
          <w:color w:val="000000"/>
          <w:kern w:val="0"/>
          <w:lang w:val="en-GB" w:eastAsia="nb-NO"/>
          <w14:ligatures w14:val="none"/>
        </w:rPr>
        <w:t>Mental Health (MH)</w:t>
      </w:r>
    </w:p>
    <w:p w14:paraId="04C88E58" w14:textId="77777777" w:rsidR="00FE62AC" w:rsidRPr="00FE62AC" w:rsidRDefault="00FE62AC" w:rsidP="00FE62AC">
      <w:pPr>
        <w:pStyle w:val="NoSpacing"/>
        <w:rPr>
          <w:lang w:val="en-GB" w:eastAsia="nb-NO"/>
        </w:rPr>
      </w:pPr>
    </w:p>
    <w:p w14:paraId="56B47813" w14:textId="77777777" w:rsidR="00526E33" w:rsidRPr="00526E33" w:rsidRDefault="00526E33" w:rsidP="00526E33">
      <w:pPr>
        <w:numPr>
          <w:ilvl w:val="0"/>
          <w:numId w:val="1"/>
        </w:num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Lipedema-specific symptoms:</w:t>
      </w:r>
      <w:r w:rsidRPr="00526E33">
        <w:rPr>
          <w:rFonts w:eastAsia="Times New Roman" w:cs="Times New Roman"/>
          <w:color w:val="000000"/>
          <w:kern w:val="0"/>
          <w:lang w:val="en-GB" w:eastAsia="nb-NO"/>
          <w14:ligatures w14:val="none"/>
        </w:rPr>
        <w:t> four items (pain, bruising, heaviness, mobility limitations) coded 0–4 (Never–Always) and averaged into a symptom composite (higher = worse).</w:t>
      </w:r>
    </w:p>
    <w:p w14:paraId="646F5B00" w14:textId="77777777" w:rsidR="00526E33" w:rsidRPr="00526E33" w:rsidRDefault="00526E33" w:rsidP="00526E33">
      <w:pPr>
        <w:numPr>
          <w:ilvl w:val="0"/>
          <w:numId w:val="1"/>
        </w:num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Employment status:</w:t>
      </w:r>
      <w:r w:rsidRPr="00526E33">
        <w:rPr>
          <w:rFonts w:eastAsia="Times New Roman" w:cs="Times New Roman"/>
          <w:color w:val="000000"/>
          <w:kern w:val="0"/>
          <w:lang w:val="en-GB" w:eastAsia="nb-NO"/>
          <w14:ligatures w14:val="none"/>
        </w:rPr>
        <w:t> categorised (full-time, part-time, sick leave, disability, not employed); percentages reported using non-missing denominators.</w:t>
      </w:r>
    </w:p>
    <w:p w14:paraId="1F02F0A2" w14:textId="77777777" w:rsidR="00526E33" w:rsidRPr="00526E33" w:rsidRDefault="00526E33" w:rsidP="00526E33">
      <w:pPr>
        <w:numPr>
          <w:ilvl w:val="0"/>
          <w:numId w:val="1"/>
        </w:num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Anthropometrics:</w:t>
      </w:r>
      <w:r w:rsidRPr="00526E33">
        <w:rPr>
          <w:rFonts w:eastAsia="Times New Roman" w:cs="Times New Roman"/>
          <w:color w:val="000000"/>
          <w:kern w:val="0"/>
          <w:lang w:val="en-GB" w:eastAsia="nb-NO"/>
          <w14:ligatures w14:val="none"/>
        </w:rPr>
        <w:t> BMI (WHO categories) from self-reported height/weight and waist-to-height ratio (WtHR) as a pragmatic marker of central adiposity. WtHR is clinically useful in lipedema because central obesity is not the typical lipedema distribution and WtHR better reflects cardiometabolic risk than BMI alone.</w:t>
      </w:r>
    </w:p>
    <w:p w14:paraId="4ED64454"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t>Response &amp; scoring</w:t>
      </w:r>
    </w:p>
    <w:p w14:paraId="0D081D51" w14:textId="2765FF6D"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 xml:space="preserve">719 invited; 202 respondents (28% response). Completion (final page): 160/202 (79.2%). Item completeness </w:t>
      </w:r>
      <w:r w:rsidR="00FE62AC">
        <w:rPr>
          <w:rFonts w:eastAsia="Times New Roman" w:cs="Times New Roman"/>
          <w:color w:val="000000"/>
          <w:kern w:val="0"/>
          <w:lang w:val="en-GB" w:eastAsia="nb-NO"/>
          <w14:ligatures w14:val="none"/>
        </w:rPr>
        <w:t xml:space="preserve">was </w:t>
      </w:r>
      <w:r w:rsidRPr="00526E33">
        <w:rPr>
          <w:rFonts w:eastAsia="Times New Roman" w:cs="Times New Roman"/>
          <w:color w:val="000000"/>
          <w:kern w:val="0"/>
          <w:lang w:val="en-GB" w:eastAsia="nb-NO"/>
          <w14:ligatures w14:val="none"/>
        </w:rPr>
        <w:t>high for treatment category (202/202), the four symptom items (193/202) and RAND general health (192/202). Analyses used available-case denominators; valid n reported for each result.</w:t>
      </w:r>
    </w:p>
    <w:p w14:paraId="0B5954E4"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Scoring: RAND-12 domain scoring followed standard 0–100 scaling. Continuous comparisons used Welch’s t-test with 95% CIs and Hedges g; ordinal symptom comparisons used Mann–Whitney U with effect size r. Exploratory regression models adjusted for BMI or WtHR where data permitted.</w:t>
      </w:r>
    </w:p>
    <w:p w14:paraId="7D1A6599" w14:textId="4FA9596E" w:rsidR="00526E33" w:rsidRPr="00526E33" w:rsidRDefault="00526E33" w:rsidP="00526E33">
      <w:pPr>
        <w:rPr>
          <w:rFonts w:ascii="Times New Roman" w:eastAsia="Times New Roman" w:hAnsi="Times New Roman" w:cs="Times New Roman"/>
          <w:kern w:val="0"/>
          <w:lang w:val="en-GB" w:eastAsia="nb-NO"/>
          <w14:ligatures w14:val="none"/>
        </w:rPr>
      </w:pPr>
    </w:p>
    <w:p w14:paraId="78B89650" w14:textId="77777777" w:rsidR="00526E33" w:rsidRPr="00526E33" w:rsidRDefault="00526E33" w:rsidP="00526E33">
      <w:pPr>
        <w:spacing w:before="100" w:beforeAutospacing="1" w:after="100" w:afterAutospacing="1"/>
        <w:outlineLvl w:val="1"/>
        <w:rPr>
          <w:rFonts w:eastAsia="Times New Roman" w:cs="Times New Roman"/>
          <w:b/>
          <w:bCs/>
          <w:color w:val="000000"/>
          <w:kern w:val="0"/>
          <w:sz w:val="36"/>
          <w:szCs w:val="36"/>
          <w:lang w:val="en-GB" w:eastAsia="nb-NO"/>
          <w14:ligatures w14:val="none"/>
        </w:rPr>
      </w:pPr>
      <w:r w:rsidRPr="00526E33">
        <w:rPr>
          <w:rFonts w:eastAsia="Times New Roman" w:cs="Times New Roman"/>
          <w:b/>
          <w:bCs/>
          <w:color w:val="000000"/>
          <w:kern w:val="0"/>
          <w:sz w:val="36"/>
          <w:szCs w:val="36"/>
          <w:lang w:val="en-GB" w:eastAsia="nb-NO"/>
          <w14:ligatures w14:val="none"/>
        </w:rPr>
        <w:t>Results</w:t>
      </w:r>
    </w:p>
    <w:p w14:paraId="5C6B854E"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t>Participants &amp; treatment categories</w:t>
      </w:r>
    </w:p>
    <w:p w14:paraId="23E5E01F"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N = 202 respondents: consultation only 114 (56.4%); operated at IbsenSykehusene 65 (32.2%); operated elsewhere 11 (5.4%); operated at IbsenSykehusene + elsewhere 12 (5.9%); operated (any) = 88.</w:t>
      </w:r>
    </w:p>
    <w:p w14:paraId="44D3D67C"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lastRenderedPageBreak/>
        <w:t>Anthropometrics</w:t>
      </w:r>
    </w:p>
    <w:p w14:paraId="0DD828FE"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BMI and WtHR summaries in tables; waist measures had some missingness. WtHR was used to identify central adiposity and support interpretation.</w:t>
      </w:r>
    </w:p>
    <w:p w14:paraId="38A958DD"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t>RAND-12 &amp; composites</w:t>
      </w:r>
    </w:p>
    <w:p w14:paraId="53C2DFCA"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Operated respondents had higher scores across most RAND-12 domains and substantially higher PCS and MCS. Principal differences were in perceived general health, physical functioning, role limitation due to physical health, and bodily pain interference. Social functioning differences were smaller.</w:t>
      </w:r>
    </w:p>
    <w:p w14:paraId="7610297D"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t>Lipedema-specific symptoms</w:t>
      </w:r>
    </w:p>
    <w:p w14:paraId="651489D5"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Operated respondents reported lower frequency of pain, bruising, heaviness and mobility limitations. Symptom composite: consultation mean 2.99 vs operated mean 2.27 (p ≈ 1.8×10</w:t>
      </w:r>
      <w:r w:rsidRPr="00526E33">
        <w:rPr>
          <w:rFonts w:ascii="Cambria Math" w:eastAsia="Times New Roman" w:hAnsi="Cambria Math" w:cs="Cambria Math"/>
          <w:color w:val="000000"/>
          <w:kern w:val="0"/>
          <w:lang w:val="en-GB" w:eastAsia="nb-NO"/>
          <w14:ligatures w14:val="none"/>
        </w:rPr>
        <w:t>⁻</w:t>
      </w:r>
      <w:r w:rsidRPr="00526E33">
        <w:rPr>
          <w:rFonts w:eastAsia="Times New Roman" w:cs="Times New Roman"/>
          <w:color w:val="000000"/>
          <w:kern w:val="0"/>
          <w:lang w:val="en-GB" w:eastAsia="nb-NO"/>
          <w14:ligatures w14:val="none"/>
        </w:rPr>
        <w:t>⁸).</w:t>
      </w:r>
    </w:p>
    <w:p w14:paraId="5FF8A018"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t>Employment</w:t>
      </w:r>
    </w:p>
    <w:p w14:paraId="6022B240"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Among non-missing responders (consultation n = 93; operated n = 68): full-time employment 40.9% consultation vs 55.9% operated; sick leave and disability higher in consultation only. See Table 2 for details (percentages use non-missing denominators).</w:t>
      </w:r>
    </w:p>
    <w:p w14:paraId="2E1D32EB" w14:textId="77777777" w:rsidR="00526E33" w:rsidRPr="00526E33" w:rsidRDefault="00526E33" w:rsidP="00526E33">
      <w:pPr>
        <w:spacing w:before="100" w:beforeAutospacing="1" w:after="100" w:afterAutospacing="1"/>
        <w:outlineLvl w:val="2"/>
        <w:rPr>
          <w:rFonts w:eastAsia="Times New Roman" w:cs="Times New Roman"/>
          <w:b/>
          <w:bCs/>
          <w:color w:val="000000"/>
          <w:kern w:val="0"/>
          <w:sz w:val="27"/>
          <w:szCs w:val="27"/>
          <w:lang w:val="en-GB" w:eastAsia="nb-NO"/>
          <w14:ligatures w14:val="none"/>
        </w:rPr>
      </w:pPr>
      <w:r w:rsidRPr="00526E33">
        <w:rPr>
          <w:rFonts w:eastAsia="Times New Roman" w:cs="Times New Roman"/>
          <w:b/>
          <w:bCs/>
          <w:color w:val="000000"/>
          <w:kern w:val="0"/>
          <w:sz w:val="27"/>
          <w:szCs w:val="27"/>
          <w:lang w:val="en-GB" w:eastAsia="nb-NO"/>
          <w14:ligatures w14:val="none"/>
        </w:rPr>
        <w:t>Sensitivity analyses</w:t>
      </w:r>
    </w:p>
    <w:p w14:paraId="313729E7"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Differences in PCS/MCS persisted in exploratory models adjusted for BMI and WtHR, though missingness and anonymous design limit causal interpretation.</w:t>
      </w:r>
    </w:p>
    <w:p w14:paraId="2C4F562A" w14:textId="0A6CD2D4" w:rsidR="00526E33" w:rsidRPr="00526E33" w:rsidRDefault="00526E33" w:rsidP="00526E33">
      <w:pPr>
        <w:rPr>
          <w:rFonts w:ascii="Times New Roman" w:eastAsia="Times New Roman" w:hAnsi="Times New Roman" w:cs="Times New Roman"/>
          <w:kern w:val="0"/>
          <w:lang w:val="en-GB" w:eastAsia="nb-NO"/>
          <w14:ligatures w14:val="none"/>
        </w:rPr>
      </w:pPr>
    </w:p>
    <w:p w14:paraId="7AA95B87" w14:textId="77777777" w:rsidR="00526E33" w:rsidRPr="00526E33" w:rsidRDefault="00526E33" w:rsidP="00526E33">
      <w:pPr>
        <w:spacing w:before="100" w:beforeAutospacing="1" w:after="100" w:afterAutospacing="1"/>
        <w:outlineLvl w:val="1"/>
        <w:rPr>
          <w:rFonts w:eastAsia="Times New Roman" w:cs="Times New Roman"/>
          <w:b/>
          <w:bCs/>
          <w:color w:val="000000"/>
          <w:kern w:val="0"/>
          <w:sz w:val="36"/>
          <w:szCs w:val="36"/>
          <w:lang w:val="en-GB" w:eastAsia="nb-NO"/>
          <w14:ligatures w14:val="none"/>
        </w:rPr>
      </w:pPr>
      <w:r w:rsidRPr="00526E33">
        <w:rPr>
          <w:rFonts w:eastAsia="Times New Roman" w:cs="Times New Roman"/>
          <w:b/>
          <w:bCs/>
          <w:color w:val="000000"/>
          <w:kern w:val="0"/>
          <w:sz w:val="36"/>
          <w:szCs w:val="36"/>
          <w:lang w:val="en-GB" w:eastAsia="nb-NO"/>
          <w14:ligatures w14:val="none"/>
        </w:rPr>
        <w:t>Discussion</w:t>
      </w:r>
    </w:p>
    <w:p w14:paraId="4E2934D1"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Principal findings.</w:t>
      </w:r>
      <w:r w:rsidRPr="00526E33">
        <w:rPr>
          <w:rFonts w:eastAsia="Times New Roman" w:cs="Times New Roman"/>
          <w:color w:val="000000"/>
          <w:kern w:val="0"/>
          <w:lang w:val="en-GB" w:eastAsia="nb-NO"/>
          <w14:ligatures w14:val="none"/>
        </w:rPr>
        <w:t> Consultation-only respondents reported markedly poorer perceived health and higher symptom burden than operated respondents. Differences were largest in physical domains and disease-specific symptoms; mental health measures also differed substantially, while social functioning showed smaller separation.</w:t>
      </w:r>
    </w:p>
    <w:p w14:paraId="5B8ECFE7" w14:textId="77777777" w:rsidR="00FE62AC" w:rsidRDefault="00FE62AC" w:rsidP="00526E33">
      <w:pPr>
        <w:spacing w:before="100" w:beforeAutospacing="1" w:after="100" w:afterAutospacing="1"/>
        <w:rPr>
          <w:rFonts w:eastAsia="Times New Roman" w:cs="Times New Roman"/>
          <w:color w:val="000000"/>
          <w:kern w:val="0"/>
          <w:lang w:val="en-GB" w:eastAsia="nb-NO"/>
          <w14:ligatures w14:val="none"/>
        </w:rPr>
      </w:pPr>
      <w:r>
        <w:rPr>
          <w:rFonts w:eastAsia="Times New Roman" w:cs="Times New Roman"/>
          <w:color w:val="000000"/>
          <w:kern w:val="0"/>
          <w:lang w:val="en-GB" w:eastAsia="nb-NO"/>
          <w14:ligatures w14:val="none"/>
        </w:rPr>
        <w:t>T</w:t>
      </w:r>
      <w:r w:rsidR="00526E33" w:rsidRPr="00526E33">
        <w:rPr>
          <w:rFonts w:eastAsia="Times New Roman" w:cs="Times New Roman"/>
          <w:color w:val="000000"/>
          <w:kern w:val="0"/>
          <w:lang w:val="en-GB" w:eastAsia="nb-NO"/>
          <w14:ligatures w14:val="none"/>
        </w:rPr>
        <w:t xml:space="preserve">he findings speak directly to </w:t>
      </w:r>
      <w:r>
        <w:rPr>
          <w:rFonts w:eastAsia="Times New Roman" w:cs="Times New Roman"/>
          <w:color w:val="000000"/>
          <w:kern w:val="0"/>
          <w:lang w:val="en-GB" w:eastAsia="nb-NO"/>
          <w14:ligatures w14:val="none"/>
        </w:rPr>
        <w:t>the</w:t>
      </w:r>
      <w:r w:rsidR="00526E33" w:rsidRPr="00526E33">
        <w:rPr>
          <w:rFonts w:eastAsia="Times New Roman" w:cs="Times New Roman"/>
          <w:color w:val="000000"/>
          <w:kern w:val="0"/>
          <w:lang w:val="en-GB" w:eastAsia="nb-NO"/>
          <w14:ligatures w14:val="none"/>
        </w:rPr>
        <w:t xml:space="preserve"> raison d’être</w:t>
      </w:r>
      <w:r>
        <w:rPr>
          <w:rFonts w:eastAsia="Times New Roman" w:cs="Times New Roman"/>
          <w:color w:val="000000"/>
          <w:kern w:val="0"/>
          <w:lang w:val="en-GB" w:eastAsia="nb-NO"/>
          <w14:ligatures w14:val="none"/>
        </w:rPr>
        <w:t xml:space="preserve"> of IbsenSykehusene – valid treatment outcomes and improved quality of life</w:t>
      </w:r>
      <w:r w:rsidR="00526E33" w:rsidRPr="00526E33">
        <w:rPr>
          <w:rFonts w:eastAsia="Times New Roman" w:cs="Times New Roman"/>
          <w:color w:val="000000"/>
          <w:kern w:val="0"/>
          <w:lang w:val="en-GB" w:eastAsia="nb-NO"/>
          <w14:ligatures w14:val="none"/>
        </w:rPr>
        <w:t xml:space="preserve">: women reporting lipedema surgery within our standardized pathway had substantially better physical and mental health scores and lower disease-specific symptom frequency than women reporting consultation only. </w:t>
      </w:r>
    </w:p>
    <w:p w14:paraId="1DDC09A0" w14:textId="12AB9564"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 xml:space="preserve">Although these cross-sectional, anonymous data cannot prove causality and are open to selection and timing biases, the coherent signal across RAND-12 domains and disease-specific items — delivered by the same surgical team and within a consistent pathway — is consistent with a meaningful patient-centred benefit of surgical </w:t>
      </w:r>
      <w:r w:rsidRPr="00526E33">
        <w:rPr>
          <w:rFonts w:eastAsia="Times New Roman" w:cs="Times New Roman"/>
          <w:color w:val="000000"/>
          <w:kern w:val="0"/>
          <w:lang w:val="en-GB" w:eastAsia="nb-NO"/>
          <w14:ligatures w14:val="none"/>
        </w:rPr>
        <w:lastRenderedPageBreak/>
        <w:t>treatment. On that basis, the results provide credible, practice-based support for the role of surgery for selected patients and for continued investment in timely diagnostic pathways, careful surgical selection, and routine short-term PROM monitoring to ensure benefits are realised and equitably delivered.</w:t>
      </w:r>
    </w:p>
    <w:p w14:paraId="1D69EE7B"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b/>
          <w:bCs/>
          <w:color w:val="000000"/>
          <w:kern w:val="0"/>
          <w:lang w:val="en-GB" w:eastAsia="nb-NO"/>
          <w14:ligatures w14:val="none"/>
        </w:rPr>
        <w:t>Why social functioning differences may be smaller.</w:t>
      </w:r>
      <w:r w:rsidRPr="00526E33">
        <w:rPr>
          <w:rFonts w:eastAsia="Times New Roman" w:cs="Times New Roman"/>
          <w:color w:val="000000"/>
          <w:kern w:val="0"/>
          <w:lang w:val="en-GB" w:eastAsia="nb-NO"/>
          <w14:ligatures w14:val="none"/>
        </w:rPr>
        <w:t> Social participation depends on support networks, work flexibility and coping strategies and therefore may change less directly with physical symptom improvement; social recovery may require adjunct interventions.</w:t>
      </w:r>
    </w:p>
    <w:p w14:paraId="03EEB6BC" w14:textId="0BE0B768" w:rsidR="00526E33" w:rsidRPr="00526E33" w:rsidRDefault="00526E33" w:rsidP="00526E33">
      <w:pPr>
        <w:rPr>
          <w:rFonts w:eastAsia="Times New Roman" w:cs="Times New Roman"/>
          <w:kern w:val="0"/>
          <w:lang w:val="en-GB" w:eastAsia="nb-NO"/>
          <w14:ligatures w14:val="none"/>
        </w:rPr>
      </w:pPr>
    </w:p>
    <w:p w14:paraId="77E4F9CC" w14:textId="77777777" w:rsidR="00526E33" w:rsidRPr="00526E33" w:rsidRDefault="00526E33" w:rsidP="00526E33">
      <w:pPr>
        <w:spacing w:before="100" w:beforeAutospacing="1" w:after="100" w:afterAutospacing="1"/>
        <w:outlineLvl w:val="1"/>
        <w:rPr>
          <w:rFonts w:eastAsia="Times New Roman" w:cs="Times New Roman"/>
          <w:b/>
          <w:bCs/>
          <w:color w:val="000000"/>
          <w:kern w:val="0"/>
          <w:sz w:val="36"/>
          <w:szCs w:val="36"/>
          <w:lang w:val="en-GB" w:eastAsia="nb-NO"/>
          <w14:ligatures w14:val="none"/>
        </w:rPr>
      </w:pPr>
      <w:r w:rsidRPr="00526E33">
        <w:rPr>
          <w:rFonts w:eastAsia="Times New Roman" w:cs="Times New Roman"/>
          <w:b/>
          <w:bCs/>
          <w:color w:val="000000"/>
          <w:kern w:val="0"/>
          <w:sz w:val="36"/>
          <w:szCs w:val="36"/>
          <w:lang w:val="en-GB" w:eastAsia="nb-NO"/>
          <w14:ligatures w14:val="none"/>
        </w:rPr>
        <w:t>Limitations</w:t>
      </w:r>
    </w:p>
    <w:p w14:paraId="26500D75"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This is an anonymous cross-sectional QI survey and therefore descriptive. Group differences may reflect baseline differences, timing since surgery, or selection/non-response bias (survey sent only to those consenting to automated communications). Lack of linkage prevented adjustment for disease stage, comorbidity or time since surgery. Anthropometrics were self-reported; waist circumference had missingness. Because the survey is cross-sectional and the groups may differ at baseline, the observed associations should not be interpreted as definitive proof that surgery caused the improvements; prospective, linked evaluation is required.</w:t>
      </w:r>
    </w:p>
    <w:p w14:paraId="68210F34" w14:textId="46E8C096" w:rsidR="00526E33" w:rsidRPr="00526E33" w:rsidRDefault="00526E33" w:rsidP="00526E33">
      <w:pPr>
        <w:rPr>
          <w:rFonts w:eastAsia="Times New Roman" w:cs="Times New Roman"/>
          <w:kern w:val="0"/>
          <w:lang w:val="en-GB" w:eastAsia="nb-NO"/>
          <w14:ligatures w14:val="none"/>
        </w:rPr>
      </w:pPr>
    </w:p>
    <w:p w14:paraId="57512597" w14:textId="77777777" w:rsidR="00526E33" w:rsidRPr="00526E33" w:rsidRDefault="00526E33" w:rsidP="00526E33">
      <w:pPr>
        <w:spacing w:before="100" w:beforeAutospacing="1" w:after="100" w:afterAutospacing="1"/>
        <w:outlineLvl w:val="1"/>
        <w:rPr>
          <w:rFonts w:eastAsia="Times New Roman" w:cs="Times New Roman"/>
          <w:b/>
          <w:bCs/>
          <w:color w:val="000000"/>
          <w:kern w:val="0"/>
          <w:sz w:val="36"/>
          <w:szCs w:val="36"/>
          <w:lang w:val="en-GB" w:eastAsia="nb-NO"/>
          <w14:ligatures w14:val="none"/>
        </w:rPr>
      </w:pPr>
      <w:r w:rsidRPr="00526E33">
        <w:rPr>
          <w:rFonts w:eastAsia="Times New Roman" w:cs="Times New Roman"/>
          <w:b/>
          <w:bCs/>
          <w:color w:val="000000"/>
          <w:kern w:val="0"/>
          <w:sz w:val="36"/>
          <w:szCs w:val="36"/>
          <w:lang w:val="en-GB" w:eastAsia="nb-NO"/>
          <w14:ligatures w14:val="none"/>
        </w:rPr>
        <w:t>Conclusion</w:t>
      </w:r>
    </w:p>
    <w:p w14:paraId="5F1BFAAE" w14:textId="77777777" w:rsidR="00526E33" w:rsidRPr="00526E33" w:rsidRDefault="00526E33" w:rsidP="00526E33">
      <w:p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In this real-world clinic population, surgical treatment delivered within a consistent pathway was associated with meaningful improvements in physical and mental health and reductions in lipedema symptom burden, supporting the core mission of IbsenSykehusene to improve patient wellbeing.</w:t>
      </w:r>
    </w:p>
    <w:p w14:paraId="4F6CC378" w14:textId="6A310FFC" w:rsidR="00526E33" w:rsidRPr="00526E33" w:rsidRDefault="00526E33" w:rsidP="00526E33">
      <w:pPr>
        <w:rPr>
          <w:rFonts w:ascii="Times New Roman" w:eastAsia="Times New Roman" w:hAnsi="Times New Roman" w:cs="Times New Roman"/>
          <w:kern w:val="0"/>
          <w:lang w:val="en-GB" w:eastAsia="nb-NO"/>
          <w14:ligatures w14:val="none"/>
        </w:rPr>
      </w:pPr>
    </w:p>
    <w:p w14:paraId="1A93BFC4" w14:textId="77777777" w:rsidR="00526E33" w:rsidRPr="00526E33" w:rsidRDefault="00526E33" w:rsidP="00526E33">
      <w:pPr>
        <w:spacing w:before="100" w:beforeAutospacing="1" w:after="100" w:afterAutospacing="1"/>
        <w:outlineLvl w:val="1"/>
        <w:rPr>
          <w:rFonts w:eastAsia="Times New Roman" w:cs="Times New Roman"/>
          <w:b/>
          <w:bCs/>
          <w:color w:val="000000"/>
          <w:kern w:val="0"/>
          <w:sz w:val="36"/>
          <w:szCs w:val="36"/>
          <w:lang w:val="en-GB" w:eastAsia="nb-NO"/>
          <w14:ligatures w14:val="none"/>
        </w:rPr>
      </w:pPr>
      <w:r w:rsidRPr="00526E33">
        <w:rPr>
          <w:rFonts w:eastAsia="Times New Roman" w:cs="Times New Roman"/>
          <w:b/>
          <w:bCs/>
          <w:color w:val="000000"/>
          <w:kern w:val="0"/>
          <w:sz w:val="36"/>
          <w:szCs w:val="36"/>
          <w:lang w:val="en-GB" w:eastAsia="nb-NO"/>
          <w14:ligatures w14:val="none"/>
        </w:rPr>
        <w:t>Implications for QI &amp; practice</w:t>
      </w:r>
    </w:p>
    <w:p w14:paraId="31308EA2" w14:textId="77777777" w:rsidR="00526E33" w:rsidRPr="00526E33" w:rsidRDefault="00526E33" w:rsidP="00526E33">
      <w:pPr>
        <w:numPr>
          <w:ilvl w:val="0"/>
          <w:numId w:val="2"/>
        </w:num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Focus QI on diagnostic consistency, standardised surgical selection and pre-operative optimisation.</w:t>
      </w:r>
    </w:p>
    <w:p w14:paraId="2EDC9AD2" w14:textId="77777777" w:rsidR="00526E33" w:rsidRPr="00526E33" w:rsidRDefault="00526E33" w:rsidP="00526E33">
      <w:pPr>
        <w:numPr>
          <w:ilvl w:val="0"/>
          <w:numId w:val="2"/>
        </w:num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Given the staged treatment pattern (mean ≈ 2.5 procedures often within 12 months), semiannual (twice-yearly) PROM checkpoints are pragmatic to monitor outcomes across the treatment course.</w:t>
      </w:r>
    </w:p>
    <w:p w14:paraId="602C2615" w14:textId="77777777" w:rsidR="00526E33" w:rsidRPr="00526E33" w:rsidRDefault="00526E33" w:rsidP="00526E33">
      <w:pPr>
        <w:numPr>
          <w:ilvl w:val="0"/>
          <w:numId w:val="2"/>
        </w:numPr>
        <w:spacing w:before="100" w:beforeAutospacing="1" w:after="100" w:afterAutospacing="1"/>
        <w:rPr>
          <w:rFonts w:eastAsia="Times New Roman" w:cs="Times New Roman"/>
          <w:color w:val="000000"/>
          <w:kern w:val="0"/>
          <w:lang w:val="en-GB" w:eastAsia="nb-NO"/>
          <w14:ligatures w14:val="none"/>
        </w:rPr>
      </w:pPr>
      <w:r w:rsidRPr="00526E33">
        <w:rPr>
          <w:rFonts w:eastAsia="Times New Roman" w:cs="Times New Roman"/>
          <w:color w:val="000000"/>
          <w:kern w:val="0"/>
          <w:lang w:val="en-GB" w:eastAsia="nb-NO"/>
          <w14:ligatures w14:val="none"/>
        </w:rPr>
        <w:t>Pain, mobility and mental wellbeing remain domains for targeted peri-operative optimisation and service partnerships (e.g. dietetics, physiotherapy, psychological support or vocational advice as appropriate within the private specialist model).</w:t>
      </w:r>
    </w:p>
    <w:p w14:paraId="18BDCB86" w14:textId="773F1A0C" w:rsidR="00526E33" w:rsidRPr="00526E33" w:rsidRDefault="00526E33" w:rsidP="00526E33">
      <w:pPr>
        <w:rPr>
          <w:rFonts w:ascii="Times New Roman" w:eastAsia="Times New Roman" w:hAnsi="Times New Roman" w:cs="Times New Roman"/>
          <w:kern w:val="0"/>
          <w:lang w:val="en-GB" w:eastAsia="nb-NO"/>
          <w14:ligatures w14:val="none"/>
        </w:rPr>
      </w:pPr>
    </w:p>
    <w:p w14:paraId="7597ADF4" w14:textId="77777777" w:rsidR="001B7DC8" w:rsidRPr="001B7DC8" w:rsidRDefault="001B7DC8" w:rsidP="001B7DC8">
      <w:pPr>
        <w:pStyle w:val="Heading1"/>
        <w:rPr>
          <w:lang w:val="en-GB"/>
        </w:rPr>
      </w:pPr>
      <w:r w:rsidRPr="001B7DC8">
        <w:rPr>
          <w:lang w:val="en-GB"/>
        </w:rPr>
        <w:t>Tables</w:t>
      </w:r>
    </w:p>
    <w:p w14:paraId="56F960DA" w14:textId="4341D01D" w:rsidR="001B7DC8" w:rsidRPr="001B7DC8" w:rsidRDefault="001B7DC8" w:rsidP="001B7DC8">
      <w:pPr>
        <w:rPr>
          <w:lang w:val="en-GB"/>
        </w:rPr>
      </w:pPr>
      <w:r w:rsidRPr="001B7DC8">
        <w:rPr>
          <w:b/>
          <w:lang w:val="en-GB"/>
        </w:rPr>
        <w:t>Table 1. Treatment categories (N = 202)</w:t>
      </w:r>
    </w:p>
    <w:tbl>
      <w:tblPr>
        <w:tblStyle w:val="TableGrid"/>
        <w:tblW w:w="0" w:type="auto"/>
        <w:jc w:val="center"/>
        <w:tblLook w:val="04A0" w:firstRow="1" w:lastRow="0" w:firstColumn="1" w:lastColumn="0" w:noHBand="0" w:noVBand="1"/>
      </w:tblPr>
      <w:tblGrid>
        <w:gridCol w:w="2880"/>
        <w:gridCol w:w="2880"/>
        <w:gridCol w:w="2880"/>
      </w:tblGrid>
      <w:tr w:rsidR="001B7DC8" w:rsidRPr="001B7DC8" w14:paraId="4A70FBF7" w14:textId="77777777" w:rsidTr="009C49B1">
        <w:trPr>
          <w:jc w:val="center"/>
        </w:trPr>
        <w:tc>
          <w:tcPr>
            <w:tcW w:w="2880" w:type="dxa"/>
          </w:tcPr>
          <w:p w14:paraId="380564BC" w14:textId="77777777" w:rsidR="001B7DC8" w:rsidRPr="001B7DC8" w:rsidRDefault="001B7DC8" w:rsidP="009C49B1">
            <w:pPr>
              <w:rPr>
                <w:sz w:val="18"/>
                <w:szCs w:val="18"/>
                <w:lang w:val="en-GB"/>
              </w:rPr>
            </w:pPr>
            <w:r w:rsidRPr="001B7DC8">
              <w:rPr>
                <w:b/>
                <w:sz w:val="18"/>
                <w:szCs w:val="18"/>
                <w:lang w:val="en-GB"/>
              </w:rPr>
              <w:t>Treatment category</w:t>
            </w:r>
          </w:p>
        </w:tc>
        <w:tc>
          <w:tcPr>
            <w:tcW w:w="2880" w:type="dxa"/>
          </w:tcPr>
          <w:p w14:paraId="41F65C75" w14:textId="77777777" w:rsidR="001B7DC8" w:rsidRPr="001B7DC8" w:rsidRDefault="001B7DC8" w:rsidP="009C49B1">
            <w:pPr>
              <w:rPr>
                <w:sz w:val="18"/>
                <w:szCs w:val="18"/>
                <w:lang w:val="en-GB"/>
              </w:rPr>
            </w:pPr>
            <w:r w:rsidRPr="001B7DC8">
              <w:rPr>
                <w:b/>
                <w:sz w:val="18"/>
                <w:szCs w:val="18"/>
                <w:lang w:val="en-GB"/>
              </w:rPr>
              <w:t>n</w:t>
            </w:r>
          </w:p>
        </w:tc>
        <w:tc>
          <w:tcPr>
            <w:tcW w:w="2880" w:type="dxa"/>
          </w:tcPr>
          <w:p w14:paraId="2345DE61" w14:textId="77777777" w:rsidR="001B7DC8" w:rsidRPr="001B7DC8" w:rsidRDefault="001B7DC8" w:rsidP="009C49B1">
            <w:pPr>
              <w:rPr>
                <w:sz w:val="18"/>
                <w:szCs w:val="18"/>
                <w:lang w:val="en-GB"/>
              </w:rPr>
            </w:pPr>
            <w:r w:rsidRPr="001B7DC8">
              <w:rPr>
                <w:b/>
                <w:sz w:val="18"/>
                <w:szCs w:val="18"/>
                <w:lang w:val="en-GB"/>
              </w:rPr>
              <w:t>%</w:t>
            </w:r>
          </w:p>
        </w:tc>
      </w:tr>
      <w:tr w:rsidR="001B7DC8" w:rsidRPr="001B7DC8" w14:paraId="65D08A73" w14:textId="77777777" w:rsidTr="009C49B1">
        <w:trPr>
          <w:jc w:val="center"/>
        </w:trPr>
        <w:tc>
          <w:tcPr>
            <w:tcW w:w="2880" w:type="dxa"/>
          </w:tcPr>
          <w:p w14:paraId="6B7F0C91" w14:textId="77777777" w:rsidR="001B7DC8" w:rsidRPr="001B7DC8" w:rsidRDefault="001B7DC8" w:rsidP="009C49B1">
            <w:pPr>
              <w:rPr>
                <w:sz w:val="18"/>
                <w:szCs w:val="18"/>
                <w:lang w:val="en-GB"/>
              </w:rPr>
            </w:pPr>
            <w:r w:rsidRPr="001B7DC8">
              <w:rPr>
                <w:sz w:val="18"/>
                <w:szCs w:val="18"/>
                <w:lang w:val="en-GB"/>
              </w:rPr>
              <w:t>Consultation only</w:t>
            </w:r>
          </w:p>
        </w:tc>
        <w:tc>
          <w:tcPr>
            <w:tcW w:w="2880" w:type="dxa"/>
          </w:tcPr>
          <w:p w14:paraId="04120EB7" w14:textId="77777777" w:rsidR="001B7DC8" w:rsidRPr="001B7DC8" w:rsidRDefault="001B7DC8" w:rsidP="009C49B1">
            <w:pPr>
              <w:rPr>
                <w:sz w:val="18"/>
                <w:szCs w:val="18"/>
                <w:lang w:val="en-GB"/>
              </w:rPr>
            </w:pPr>
            <w:r w:rsidRPr="001B7DC8">
              <w:rPr>
                <w:sz w:val="18"/>
                <w:szCs w:val="18"/>
                <w:lang w:val="en-GB"/>
              </w:rPr>
              <w:t>114</w:t>
            </w:r>
          </w:p>
        </w:tc>
        <w:tc>
          <w:tcPr>
            <w:tcW w:w="2880" w:type="dxa"/>
          </w:tcPr>
          <w:p w14:paraId="43CB3582" w14:textId="77777777" w:rsidR="001B7DC8" w:rsidRPr="001B7DC8" w:rsidRDefault="001B7DC8" w:rsidP="009C49B1">
            <w:pPr>
              <w:rPr>
                <w:sz w:val="18"/>
                <w:szCs w:val="18"/>
                <w:lang w:val="en-GB"/>
              </w:rPr>
            </w:pPr>
            <w:r w:rsidRPr="001B7DC8">
              <w:rPr>
                <w:sz w:val="18"/>
                <w:szCs w:val="18"/>
                <w:lang w:val="en-GB"/>
              </w:rPr>
              <w:t>56.4%</w:t>
            </w:r>
          </w:p>
        </w:tc>
      </w:tr>
      <w:tr w:rsidR="001B7DC8" w:rsidRPr="001B7DC8" w14:paraId="0B3D4363" w14:textId="77777777" w:rsidTr="009C49B1">
        <w:trPr>
          <w:jc w:val="center"/>
        </w:trPr>
        <w:tc>
          <w:tcPr>
            <w:tcW w:w="2880" w:type="dxa"/>
          </w:tcPr>
          <w:p w14:paraId="0C5C4FE6" w14:textId="77777777" w:rsidR="001B7DC8" w:rsidRPr="001B7DC8" w:rsidRDefault="001B7DC8" w:rsidP="009C49B1">
            <w:pPr>
              <w:rPr>
                <w:sz w:val="18"/>
                <w:szCs w:val="18"/>
                <w:lang w:val="en-GB"/>
              </w:rPr>
            </w:pPr>
            <w:r w:rsidRPr="001B7DC8">
              <w:rPr>
                <w:sz w:val="18"/>
                <w:szCs w:val="18"/>
                <w:lang w:val="en-GB"/>
              </w:rPr>
              <w:t>Operated at IbsenSykehusene</w:t>
            </w:r>
          </w:p>
        </w:tc>
        <w:tc>
          <w:tcPr>
            <w:tcW w:w="2880" w:type="dxa"/>
          </w:tcPr>
          <w:p w14:paraId="4C71D02B" w14:textId="77777777" w:rsidR="001B7DC8" w:rsidRPr="001B7DC8" w:rsidRDefault="001B7DC8" w:rsidP="009C49B1">
            <w:pPr>
              <w:rPr>
                <w:sz w:val="18"/>
                <w:szCs w:val="18"/>
                <w:lang w:val="en-GB"/>
              </w:rPr>
            </w:pPr>
            <w:r w:rsidRPr="001B7DC8">
              <w:rPr>
                <w:sz w:val="18"/>
                <w:szCs w:val="18"/>
                <w:lang w:val="en-GB"/>
              </w:rPr>
              <w:t>65</w:t>
            </w:r>
          </w:p>
        </w:tc>
        <w:tc>
          <w:tcPr>
            <w:tcW w:w="2880" w:type="dxa"/>
          </w:tcPr>
          <w:p w14:paraId="454BE281" w14:textId="77777777" w:rsidR="001B7DC8" w:rsidRPr="001B7DC8" w:rsidRDefault="001B7DC8" w:rsidP="009C49B1">
            <w:pPr>
              <w:rPr>
                <w:sz w:val="18"/>
                <w:szCs w:val="18"/>
                <w:lang w:val="en-GB"/>
              </w:rPr>
            </w:pPr>
            <w:r w:rsidRPr="001B7DC8">
              <w:rPr>
                <w:sz w:val="18"/>
                <w:szCs w:val="18"/>
                <w:lang w:val="en-GB"/>
              </w:rPr>
              <w:t>32.2%</w:t>
            </w:r>
          </w:p>
        </w:tc>
      </w:tr>
      <w:tr w:rsidR="001B7DC8" w:rsidRPr="001B7DC8" w14:paraId="6F815A73" w14:textId="77777777" w:rsidTr="009C49B1">
        <w:trPr>
          <w:jc w:val="center"/>
        </w:trPr>
        <w:tc>
          <w:tcPr>
            <w:tcW w:w="2880" w:type="dxa"/>
          </w:tcPr>
          <w:p w14:paraId="484EDC3F" w14:textId="77777777" w:rsidR="001B7DC8" w:rsidRPr="001B7DC8" w:rsidRDefault="001B7DC8" w:rsidP="009C49B1">
            <w:pPr>
              <w:rPr>
                <w:sz w:val="18"/>
                <w:szCs w:val="18"/>
                <w:lang w:val="en-GB"/>
              </w:rPr>
            </w:pPr>
            <w:r w:rsidRPr="001B7DC8">
              <w:rPr>
                <w:sz w:val="18"/>
                <w:szCs w:val="18"/>
                <w:lang w:val="en-GB"/>
              </w:rPr>
              <w:t>Operated elsewhere</w:t>
            </w:r>
          </w:p>
        </w:tc>
        <w:tc>
          <w:tcPr>
            <w:tcW w:w="2880" w:type="dxa"/>
          </w:tcPr>
          <w:p w14:paraId="146427F8" w14:textId="77777777" w:rsidR="001B7DC8" w:rsidRPr="001B7DC8" w:rsidRDefault="001B7DC8" w:rsidP="009C49B1">
            <w:pPr>
              <w:rPr>
                <w:sz w:val="18"/>
                <w:szCs w:val="18"/>
                <w:lang w:val="en-GB"/>
              </w:rPr>
            </w:pPr>
            <w:r w:rsidRPr="001B7DC8">
              <w:rPr>
                <w:sz w:val="18"/>
                <w:szCs w:val="18"/>
                <w:lang w:val="en-GB"/>
              </w:rPr>
              <w:t>11</w:t>
            </w:r>
          </w:p>
        </w:tc>
        <w:tc>
          <w:tcPr>
            <w:tcW w:w="2880" w:type="dxa"/>
          </w:tcPr>
          <w:p w14:paraId="615E08B8" w14:textId="77777777" w:rsidR="001B7DC8" w:rsidRPr="001B7DC8" w:rsidRDefault="001B7DC8" w:rsidP="009C49B1">
            <w:pPr>
              <w:rPr>
                <w:sz w:val="18"/>
                <w:szCs w:val="18"/>
                <w:lang w:val="en-GB"/>
              </w:rPr>
            </w:pPr>
            <w:r w:rsidRPr="001B7DC8">
              <w:rPr>
                <w:sz w:val="18"/>
                <w:szCs w:val="18"/>
                <w:lang w:val="en-GB"/>
              </w:rPr>
              <w:t>5.4%</w:t>
            </w:r>
          </w:p>
        </w:tc>
      </w:tr>
      <w:tr w:rsidR="001B7DC8" w:rsidRPr="001B7DC8" w14:paraId="74040BDF" w14:textId="77777777" w:rsidTr="009C49B1">
        <w:trPr>
          <w:jc w:val="center"/>
        </w:trPr>
        <w:tc>
          <w:tcPr>
            <w:tcW w:w="2880" w:type="dxa"/>
          </w:tcPr>
          <w:p w14:paraId="5077E54A" w14:textId="77777777" w:rsidR="001B7DC8" w:rsidRPr="001B7DC8" w:rsidRDefault="001B7DC8" w:rsidP="009C49B1">
            <w:pPr>
              <w:rPr>
                <w:sz w:val="18"/>
                <w:szCs w:val="18"/>
                <w:lang w:val="en-GB"/>
              </w:rPr>
            </w:pPr>
            <w:r w:rsidRPr="001B7DC8">
              <w:rPr>
                <w:sz w:val="18"/>
                <w:szCs w:val="18"/>
                <w:lang w:val="en-GB"/>
              </w:rPr>
              <w:t>Operated at IbsenSykehusene + elsewhere</w:t>
            </w:r>
          </w:p>
        </w:tc>
        <w:tc>
          <w:tcPr>
            <w:tcW w:w="2880" w:type="dxa"/>
          </w:tcPr>
          <w:p w14:paraId="22A416EF" w14:textId="77777777" w:rsidR="001B7DC8" w:rsidRPr="001B7DC8" w:rsidRDefault="001B7DC8" w:rsidP="009C49B1">
            <w:pPr>
              <w:rPr>
                <w:sz w:val="18"/>
                <w:szCs w:val="18"/>
                <w:lang w:val="en-GB"/>
              </w:rPr>
            </w:pPr>
            <w:r w:rsidRPr="001B7DC8">
              <w:rPr>
                <w:sz w:val="18"/>
                <w:szCs w:val="18"/>
                <w:lang w:val="en-GB"/>
              </w:rPr>
              <w:t>12</w:t>
            </w:r>
          </w:p>
        </w:tc>
        <w:tc>
          <w:tcPr>
            <w:tcW w:w="2880" w:type="dxa"/>
          </w:tcPr>
          <w:p w14:paraId="0C109A81" w14:textId="77777777" w:rsidR="001B7DC8" w:rsidRPr="001B7DC8" w:rsidRDefault="001B7DC8" w:rsidP="009C49B1">
            <w:pPr>
              <w:rPr>
                <w:sz w:val="18"/>
                <w:szCs w:val="18"/>
                <w:lang w:val="en-GB"/>
              </w:rPr>
            </w:pPr>
            <w:r w:rsidRPr="001B7DC8">
              <w:rPr>
                <w:sz w:val="18"/>
                <w:szCs w:val="18"/>
                <w:lang w:val="en-GB"/>
              </w:rPr>
              <w:t>5.9%</w:t>
            </w:r>
          </w:p>
        </w:tc>
      </w:tr>
    </w:tbl>
    <w:p w14:paraId="5A484F04" w14:textId="77777777" w:rsidR="001B7DC8" w:rsidRPr="001B7DC8" w:rsidRDefault="001B7DC8" w:rsidP="001B7DC8">
      <w:pPr>
        <w:rPr>
          <w:lang w:val="en-GB"/>
        </w:rPr>
      </w:pPr>
    </w:p>
    <w:p w14:paraId="230C209A" w14:textId="77777777" w:rsidR="001B7DC8" w:rsidRPr="001B7DC8" w:rsidRDefault="001B7DC8" w:rsidP="001B7DC8">
      <w:pPr>
        <w:rPr>
          <w:lang w:val="en-GB"/>
        </w:rPr>
      </w:pPr>
      <w:r w:rsidRPr="001B7DC8">
        <w:rPr>
          <w:b/>
          <w:lang w:val="en-GB"/>
        </w:rPr>
        <w:t>Table 2. Employment status</w:t>
      </w:r>
    </w:p>
    <w:tbl>
      <w:tblPr>
        <w:tblStyle w:val="TableGrid"/>
        <w:tblW w:w="0" w:type="auto"/>
        <w:jc w:val="center"/>
        <w:tblLook w:val="04A0" w:firstRow="1" w:lastRow="0" w:firstColumn="1" w:lastColumn="0" w:noHBand="0" w:noVBand="1"/>
      </w:tblPr>
      <w:tblGrid>
        <w:gridCol w:w="2880"/>
        <w:gridCol w:w="2880"/>
        <w:gridCol w:w="2880"/>
      </w:tblGrid>
      <w:tr w:rsidR="001B7DC8" w:rsidRPr="001B7DC8" w14:paraId="1FC7CEE3" w14:textId="77777777" w:rsidTr="009C49B1">
        <w:trPr>
          <w:jc w:val="center"/>
        </w:trPr>
        <w:tc>
          <w:tcPr>
            <w:tcW w:w="2880" w:type="dxa"/>
          </w:tcPr>
          <w:p w14:paraId="234B66C0" w14:textId="77777777" w:rsidR="001B7DC8" w:rsidRPr="001B7DC8" w:rsidRDefault="001B7DC8" w:rsidP="009C49B1">
            <w:pPr>
              <w:rPr>
                <w:sz w:val="18"/>
                <w:szCs w:val="18"/>
                <w:lang w:val="en-GB"/>
              </w:rPr>
            </w:pPr>
            <w:r w:rsidRPr="001B7DC8">
              <w:rPr>
                <w:b/>
                <w:sz w:val="18"/>
                <w:szCs w:val="18"/>
                <w:lang w:val="en-GB"/>
              </w:rPr>
              <w:t>Employment status</w:t>
            </w:r>
          </w:p>
        </w:tc>
        <w:tc>
          <w:tcPr>
            <w:tcW w:w="2880" w:type="dxa"/>
          </w:tcPr>
          <w:p w14:paraId="1EB18D13" w14:textId="77777777" w:rsidR="001B7DC8" w:rsidRPr="001B7DC8" w:rsidRDefault="001B7DC8" w:rsidP="009C49B1">
            <w:pPr>
              <w:rPr>
                <w:sz w:val="18"/>
                <w:szCs w:val="18"/>
                <w:lang w:val="en-GB"/>
              </w:rPr>
            </w:pPr>
            <w:r w:rsidRPr="001B7DC8">
              <w:rPr>
                <w:b/>
                <w:sz w:val="18"/>
                <w:szCs w:val="18"/>
                <w:lang w:val="en-GB"/>
              </w:rPr>
              <w:t>Consultation only</w:t>
            </w:r>
          </w:p>
        </w:tc>
        <w:tc>
          <w:tcPr>
            <w:tcW w:w="2880" w:type="dxa"/>
          </w:tcPr>
          <w:p w14:paraId="1C7DC3A8" w14:textId="77777777" w:rsidR="001B7DC8" w:rsidRPr="001B7DC8" w:rsidRDefault="001B7DC8" w:rsidP="009C49B1">
            <w:pPr>
              <w:rPr>
                <w:sz w:val="18"/>
                <w:szCs w:val="18"/>
                <w:lang w:val="en-GB"/>
              </w:rPr>
            </w:pPr>
            <w:r w:rsidRPr="001B7DC8">
              <w:rPr>
                <w:b/>
                <w:sz w:val="18"/>
                <w:szCs w:val="18"/>
                <w:lang w:val="en-GB"/>
              </w:rPr>
              <w:t>Operated (any)</w:t>
            </w:r>
          </w:p>
        </w:tc>
      </w:tr>
      <w:tr w:rsidR="001B7DC8" w:rsidRPr="001B7DC8" w14:paraId="627CE8F5" w14:textId="77777777" w:rsidTr="009C49B1">
        <w:trPr>
          <w:jc w:val="center"/>
        </w:trPr>
        <w:tc>
          <w:tcPr>
            <w:tcW w:w="2880" w:type="dxa"/>
          </w:tcPr>
          <w:p w14:paraId="4F589F8C" w14:textId="77777777" w:rsidR="001B7DC8" w:rsidRPr="001B7DC8" w:rsidRDefault="001B7DC8" w:rsidP="009C49B1">
            <w:pPr>
              <w:rPr>
                <w:sz w:val="18"/>
                <w:szCs w:val="18"/>
                <w:lang w:val="en-GB"/>
              </w:rPr>
            </w:pPr>
            <w:r w:rsidRPr="001B7DC8">
              <w:rPr>
                <w:sz w:val="18"/>
                <w:szCs w:val="18"/>
                <w:lang w:val="en-GB"/>
              </w:rPr>
              <w:t>Full-time employment</w:t>
            </w:r>
          </w:p>
        </w:tc>
        <w:tc>
          <w:tcPr>
            <w:tcW w:w="2880" w:type="dxa"/>
          </w:tcPr>
          <w:p w14:paraId="15EDA9D5" w14:textId="77777777" w:rsidR="001B7DC8" w:rsidRPr="001B7DC8" w:rsidRDefault="001B7DC8" w:rsidP="009C49B1">
            <w:pPr>
              <w:rPr>
                <w:sz w:val="18"/>
                <w:szCs w:val="18"/>
                <w:lang w:val="en-GB"/>
              </w:rPr>
            </w:pPr>
            <w:r w:rsidRPr="001B7DC8">
              <w:rPr>
                <w:sz w:val="18"/>
                <w:szCs w:val="18"/>
                <w:lang w:val="en-GB"/>
              </w:rPr>
              <w:t>38 (40.9%)</w:t>
            </w:r>
          </w:p>
        </w:tc>
        <w:tc>
          <w:tcPr>
            <w:tcW w:w="2880" w:type="dxa"/>
          </w:tcPr>
          <w:p w14:paraId="59992067" w14:textId="77777777" w:rsidR="001B7DC8" w:rsidRPr="001B7DC8" w:rsidRDefault="001B7DC8" w:rsidP="009C49B1">
            <w:pPr>
              <w:rPr>
                <w:sz w:val="18"/>
                <w:szCs w:val="18"/>
                <w:lang w:val="en-GB"/>
              </w:rPr>
            </w:pPr>
            <w:r w:rsidRPr="001B7DC8">
              <w:rPr>
                <w:sz w:val="18"/>
                <w:szCs w:val="18"/>
                <w:lang w:val="en-GB"/>
              </w:rPr>
              <w:t>38 (55.9%)</w:t>
            </w:r>
          </w:p>
        </w:tc>
      </w:tr>
      <w:tr w:rsidR="001B7DC8" w:rsidRPr="001B7DC8" w14:paraId="28E7CE0D" w14:textId="77777777" w:rsidTr="009C49B1">
        <w:trPr>
          <w:jc w:val="center"/>
        </w:trPr>
        <w:tc>
          <w:tcPr>
            <w:tcW w:w="2880" w:type="dxa"/>
          </w:tcPr>
          <w:p w14:paraId="6D01DB2A" w14:textId="77777777" w:rsidR="001B7DC8" w:rsidRPr="001B7DC8" w:rsidRDefault="001B7DC8" w:rsidP="009C49B1">
            <w:pPr>
              <w:rPr>
                <w:sz w:val="18"/>
                <w:szCs w:val="18"/>
                <w:lang w:val="en-GB"/>
              </w:rPr>
            </w:pPr>
            <w:r w:rsidRPr="001B7DC8">
              <w:rPr>
                <w:sz w:val="18"/>
                <w:szCs w:val="18"/>
                <w:lang w:val="en-GB"/>
              </w:rPr>
              <w:t>Part-time employment</w:t>
            </w:r>
          </w:p>
        </w:tc>
        <w:tc>
          <w:tcPr>
            <w:tcW w:w="2880" w:type="dxa"/>
          </w:tcPr>
          <w:p w14:paraId="7B41C421" w14:textId="77777777" w:rsidR="001B7DC8" w:rsidRPr="001B7DC8" w:rsidRDefault="001B7DC8" w:rsidP="009C49B1">
            <w:pPr>
              <w:rPr>
                <w:sz w:val="18"/>
                <w:szCs w:val="18"/>
                <w:lang w:val="en-GB"/>
              </w:rPr>
            </w:pPr>
            <w:r w:rsidRPr="001B7DC8">
              <w:rPr>
                <w:sz w:val="18"/>
                <w:szCs w:val="18"/>
                <w:lang w:val="en-GB"/>
              </w:rPr>
              <w:t>13 (14.0%)</w:t>
            </w:r>
          </w:p>
        </w:tc>
        <w:tc>
          <w:tcPr>
            <w:tcW w:w="2880" w:type="dxa"/>
          </w:tcPr>
          <w:p w14:paraId="250E1928" w14:textId="77777777" w:rsidR="001B7DC8" w:rsidRPr="001B7DC8" w:rsidRDefault="001B7DC8" w:rsidP="009C49B1">
            <w:pPr>
              <w:rPr>
                <w:sz w:val="18"/>
                <w:szCs w:val="18"/>
                <w:lang w:val="en-GB"/>
              </w:rPr>
            </w:pPr>
            <w:r w:rsidRPr="001B7DC8">
              <w:rPr>
                <w:sz w:val="18"/>
                <w:szCs w:val="18"/>
                <w:lang w:val="en-GB"/>
              </w:rPr>
              <w:t>9 (13.2%)</w:t>
            </w:r>
          </w:p>
        </w:tc>
      </w:tr>
      <w:tr w:rsidR="001B7DC8" w:rsidRPr="001B7DC8" w14:paraId="46EEAA04" w14:textId="77777777" w:rsidTr="009C49B1">
        <w:trPr>
          <w:jc w:val="center"/>
        </w:trPr>
        <w:tc>
          <w:tcPr>
            <w:tcW w:w="2880" w:type="dxa"/>
          </w:tcPr>
          <w:p w14:paraId="5FD89D3D" w14:textId="77777777" w:rsidR="001B7DC8" w:rsidRPr="001B7DC8" w:rsidRDefault="001B7DC8" w:rsidP="009C49B1">
            <w:pPr>
              <w:rPr>
                <w:sz w:val="18"/>
                <w:szCs w:val="18"/>
                <w:lang w:val="en-GB"/>
              </w:rPr>
            </w:pPr>
            <w:r w:rsidRPr="001B7DC8">
              <w:rPr>
                <w:sz w:val="18"/>
                <w:szCs w:val="18"/>
                <w:lang w:val="en-GB"/>
              </w:rPr>
              <w:t>On sick leave</w:t>
            </w:r>
          </w:p>
        </w:tc>
        <w:tc>
          <w:tcPr>
            <w:tcW w:w="2880" w:type="dxa"/>
          </w:tcPr>
          <w:p w14:paraId="1415292B" w14:textId="77777777" w:rsidR="001B7DC8" w:rsidRPr="001B7DC8" w:rsidRDefault="001B7DC8" w:rsidP="009C49B1">
            <w:pPr>
              <w:rPr>
                <w:sz w:val="18"/>
                <w:szCs w:val="18"/>
                <w:lang w:val="en-GB"/>
              </w:rPr>
            </w:pPr>
            <w:r w:rsidRPr="001B7DC8">
              <w:rPr>
                <w:sz w:val="18"/>
                <w:szCs w:val="18"/>
                <w:lang w:val="en-GB"/>
              </w:rPr>
              <w:t>14 (15.1%)</w:t>
            </w:r>
          </w:p>
        </w:tc>
        <w:tc>
          <w:tcPr>
            <w:tcW w:w="2880" w:type="dxa"/>
          </w:tcPr>
          <w:p w14:paraId="0AD921B4" w14:textId="77777777" w:rsidR="001B7DC8" w:rsidRPr="001B7DC8" w:rsidRDefault="001B7DC8" w:rsidP="009C49B1">
            <w:pPr>
              <w:rPr>
                <w:sz w:val="18"/>
                <w:szCs w:val="18"/>
                <w:lang w:val="en-GB"/>
              </w:rPr>
            </w:pPr>
            <w:r w:rsidRPr="001B7DC8">
              <w:rPr>
                <w:sz w:val="18"/>
                <w:szCs w:val="18"/>
                <w:lang w:val="en-GB"/>
              </w:rPr>
              <w:t>6 (8.8%)</w:t>
            </w:r>
          </w:p>
        </w:tc>
      </w:tr>
      <w:tr w:rsidR="001B7DC8" w:rsidRPr="001B7DC8" w14:paraId="1786FDAE" w14:textId="77777777" w:rsidTr="009C49B1">
        <w:trPr>
          <w:jc w:val="center"/>
        </w:trPr>
        <w:tc>
          <w:tcPr>
            <w:tcW w:w="2880" w:type="dxa"/>
          </w:tcPr>
          <w:p w14:paraId="4CFD3B10" w14:textId="77777777" w:rsidR="001B7DC8" w:rsidRPr="001B7DC8" w:rsidRDefault="001B7DC8" w:rsidP="009C49B1">
            <w:pPr>
              <w:rPr>
                <w:sz w:val="18"/>
                <w:szCs w:val="18"/>
                <w:lang w:val="en-GB"/>
              </w:rPr>
            </w:pPr>
            <w:r w:rsidRPr="001B7DC8">
              <w:rPr>
                <w:sz w:val="18"/>
                <w:szCs w:val="18"/>
                <w:lang w:val="en-GB"/>
              </w:rPr>
              <w:t>Disability benefits / disability pension</w:t>
            </w:r>
          </w:p>
        </w:tc>
        <w:tc>
          <w:tcPr>
            <w:tcW w:w="2880" w:type="dxa"/>
          </w:tcPr>
          <w:p w14:paraId="29CFA5F6" w14:textId="77777777" w:rsidR="001B7DC8" w:rsidRPr="001B7DC8" w:rsidRDefault="001B7DC8" w:rsidP="009C49B1">
            <w:pPr>
              <w:rPr>
                <w:sz w:val="18"/>
                <w:szCs w:val="18"/>
                <w:lang w:val="en-GB"/>
              </w:rPr>
            </w:pPr>
            <w:r w:rsidRPr="001B7DC8">
              <w:rPr>
                <w:sz w:val="18"/>
                <w:szCs w:val="18"/>
                <w:lang w:val="en-GB"/>
              </w:rPr>
              <w:t>21 (22.6%)</w:t>
            </w:r>
          </w:p>
        </w:tc>
        <w:tc>
          <w:tcPr>
            <w:tcW w:w="2880" w:type="dxa"/>
          </w:tcPr>
          <w:p w14:paraId="1E1E9D58" w14:textId="77777777" w:rsidR="001B7DC8" w:rsidRPr="001B7DC8" w:rsidRDefault="001B7DC8" w:rsidP="009C49B1">
            <w:pPr>
              <w:rPr>
                <w:sz w:val="18"/>
                <w:szCs w:val="18"/>
                <w:lang w:val="en-GB"/>
              </w:rPr>
            </w:pPr>
            <w:r w:rsidRPr="001B7DC8">
              <w:rPr>
                <w:sz w:val="18"/>
                <w:szCs w:val="18"/>
                <w:lang w:val="en-GB"/>
              </w:rPr>
              <w:t>11 (16.2%)</w:t>
            </w:r>
          </w:p>
        </w:tc>
      </w:tr>
      <w:tr w:rsidR="001B7DC8" w:rsidRPr="001B7DC8" w14:paraId="0A5EB4A4" w14:textId="77777777" w:rsidTr="009C49B1">
        <w:trPr>
          <w:jc w:val="center"/>
        </w:trPr>
        <w:tc>
          <w:tcPr>
            <w:tcW w:w="2880" w:type="dxa"/>
          </w:tcPr>
          <w:p w14:paraId="30BEC558" w14:textId="77777777" w:rsidR="001B7DC8" w:rsidRPr="001B7DC8" w:rsidRDefault="001B7DC8" w:rsidP="009C49B1">
            <w:pPr>
              <w:rPr>
                <w:sz w:val="18"/>
                <w:szCs w:val="18"/>
                <w:lang w:val="en-GB"/>
              </w:rPr>
            </w:pPr>
            <w:r w:rsidRPr="001B7DC8">
              <w:rPr>
                <w:sz w:val="18"/>
                <w:szCs w:val="18"/>
                <w:lang w:val="en-GB"/>
              </w:rPr>
              <w:t>Not employed</w:t>
            </w:r>
          </w:p>
        </w:tc>
        <w:tc>
          <w:tcPr>
            <w:tcW w:w="2880" w:type="dxa"/>
          </w:tcPr>
          <w:p w14:paraId="21A57F3D" w14:textId="77777777" w:rsidR="001B7DC8" w:rsidRPr="001B7DC8" w:rsidRDefault="001B7DC8" w:rsidP="009C49B1">
            <w:pPr>
              <w:rPr>
                <w:sz w:val="18"/>
                <w:szCs w:val="18"/>
                <w:lang w:val="en-GB"/>
              </w:rPr>
            </w:pPr>
            <w:r w:rsidRPr="001B7DC8">
              <w:rPr>
                <w:sz w:val="18"/>
                <w:szCs w:val="18"/>
                <w:lang w:val="en-GB"/>
              </w:rPr>
              <w:t>7 (7.5%)</w:t>
            </w:r>
          </w:p>
        </w:tc>
        <w:tc>
          <w:tcPr>
            <w:tcW w:w="2880" w:type="dxa"/>
          </w:tcPr>
          <w:p w14:paraId="650EF876" w14:textId="77777777" w:rsidR="001B7DC8" w:rsidRPr="001B7DC8" w:rsidRDefault="001B7DC8" w:rsidP="009C49B1">
            <w:pPr>
              <w:rPr>
                <w:sz w:val="18"/>
                <w:szCs w:val="18"/>
                <w:lang w:val="en-GB"/>
              </w:rPr>
            </w:pPr>
            <w:r w:rsidRPr="001B7DC8">
              <w:rPr>
                <w:sz w:val="18"/>
                <w:szCs w:val="18"/>
                <w:lang w:val="en-GB"/>
              </w:rPr>
              <w:t>4 (5.9%)</w:t>
            </w:r>
          </w:p>
        </w:tc>
      </w:tr>
      <w:tr w:rsidR="001B7DC8" w:rsidRPr="001B7DC8" w14:paraId="7680FD7D" w14:textId="77777777" w:rsidTr="009C49B1">
        <w:trPr>
          <w:jc w:val="center"/>
        </w:trPr>
        <w:tc>
          <w:tcPr>
            <w:tcW w:w="2880" w:type="dxa"/>
          </w:tcPr>
          <w:p w14:paraId="6E44AF06" w14:textId="77777777" w:rsidR="001B7DC8" w:rsidRPr="001B7DC8" w:rsidRDefault="001B7DC8" w:rsidP="009C49B1">
            <w:pPr>
              <w:rPr>
                <w:sz w:val="18"/>
                <w:szCs w:val="18"/>
                <w:lang w:val="en-GB"/>
              </w:rPr>
            </w:pPr>
            <w:r w:rsidRPr="001B7DC8">
              <w:rPr>
                <w:sz w:val="18"/>
                <w:szCs w:val="18"/>
                <w:lang w:val="en-GB"/>
              </w:rPr>
              <w:t>Missing / other</w:t>
            </w:r>
          </w:p>
        </w:tc>
        <w:tc>
          <w:tcPr>
            <w:tcW w:w="2880" w:type="dxa"/>
          </w:tcPr>
          <w:p w14:paraId="5BFB62E7" w14:textId="77777777" w:rsidR="001B7DC8" w:rsidRPr="001B7DC8" w:rsidRDefault="001B7DC8" w:rsidP="009C49B1">
            <w:pPr>
              <w:rPr>
                <w:sz w:val="18"/>
                <w:szCs w:val="18"/>
                <w:lang w:val="en-GB"/>
              </w:rPr>
            </w:pPr>
            <w:r w:rsidRPr="001B7DC8">
              <w:rPr>
                <w:sz w:val="18"/>
                <w:szCs w:val="18"/>
                <w:lang w:val="en-GB"/>
              </w:rPr>
              <w:t>21</w:t>
            </w:r>
          </w:p>
        </w:tc>
        <w:tc>
          <w:tcPr>
            <w:tcW w:w="2880" w:type="dxa"/>
          </w:tcPr>
          <w:p w14:paraId="560E1D25" w14:textId="77777777" w:rsidR="001B7DC8" w:rsidRPr="001B7DC8" w:rsidRDefault="001B7DC8" w:rsidP="009C49B1">
            <w:pPr>
              <w:rPr>
                <w:sz w:val="18"/>
                <w:szCs w:val="18"/>
                <w:lang w:val="en-GB"/>
              </w:rPr>
            </w:pPr>
            <w:r w:rsidRPr="001B7DC8">
              <w:rPr>
                <w:sz w:val="18"/>
                <w:szCs w:val="18"/>
                <w:lang w:val="en-GB"/>
              </w:rPr>
              <w:t>20</w:t>
            </w:r>
          </w:p>
        </w:tc>
      </w:tr>
    </w:tbl>
    <w:p w14:paraId="329894A8" w14:textId="77777777" w:rsidR="001B7DC8" w:rsidRPr="001B7DC8" w:rsidRDefault="001B7DC8" w:rsidP="001B7DC8">
      <w:pPr>
        <w:ind w:firstLine="708"/>
        <w:rPr>
          <w:i/>
          <w:sz w:val="18"/>
          <w:szCs w:val="18"/>
          <w:lang w:val="en-GB"/>
        </w:rPr>
      </w:pPr>
    </w:p>
    <w:p w14:paraId="4D899793" w14:textId="21D990E6" w:rsidR="001B7DC8" w:rsidRPr="001B7DC8" w:rsidRDefault="001B7DC8" w:rsidP="001B7DC8">
      <w:pPr>
        <w:ind w:firstLine="708"/>
        <w:rPr>
          <w:lang w:val="en-GB"/>
        </w:rPr>
      </w:pPr>
      <w:r w:rsidRPr="001B7DC8">
        <w:rPr>
          <w:i/>
          <w:sz w:val="18"/>
          <w:szCs w:val="18"/>
          <w:lang w:val="en-GB"/>
        </w:rPr>
        <w:t>Percentages use non-missing denominators (consultation n=93; operated n=68).</w:t>
      </w:r>
    </w:p>
    <w:p w14:paraId="3288C349" w14:textId="77777777" w:rsidR="001B7DC8" w:rsidRPr="001B7DC8" w:rsidRDefault="001B7DC8" w:rsidP="001B7DC8">
      <w:pPr>
        <w:rPr>
          <w:lang w:val="en-GB"/>
        </w:rPr>
      </w:pPr>
    </w:p>
    <w:p w14:paraId="43B89C0A" w14:textId="77777777" w:rsidR="001B7DC8" w:rsidRPr="001B7DC8" w:rsidRDefault="001B7DC8" w:rsidP="001B7DC8">
      <w:pPr>
        <w:rPr>
          <w:lang w:val="en-GB"/>
        </w:rPr>
      </w:pPr>
      <w:r w:rsidRPr="001B7DC8">
        <w:rPr>
          <w:b/>
          <w:lang w:val="en-GB"/>
        </w:rPr>
        <w:t>Table 3. RAND-12 domains and composites</w:t>
      </w:r>
    </w:p>
    <w:tbl>
      <w:tblPr>
        <w:tblStyle w:val="TableGrid"/>
        <w:tblW w:w="0" w:type="auto"/>
        <w:jc w:val="center"/>
        <w:tblLook w:val="04A0" w:firstRow="1" w:lastRow="0" w:firstColumn="1" w:lastColumn="0" w:noHBand="0" w:noVBand="1"/>
      </w:tblPr>
      <w:tblGrid>
        <w:gridCol w:w="1829"/>
        <w:gridCol w:w="1281"/>
        <w:gridCol w:w="755"/>
        <w:gridCol w:w="983"/>
        <w:gridCol w:w="713"/>
        <w:gridCol w:w="779"/>
        <w:gridCol w:w="781"/>
        <w:gridCol w:w="1037"/>
        <w:gridCol w:w="904"/>
      </w:tblGrid>
      <w:tr w:rsidR="001B7DC8" w:rsidRPr="001B7DC8" w14:paraId="1301BE2A" w14:textId="77777777" w:rsidTr="009C49B1">
        <w:trPr>
          <w:jc w:val="center"/>
        </w:trPr>
        <w:tc>
          <w:tcPr>
            <w:tcW w:w="960" w:type="dxa"/>
          </w:tcPr>
          <w:p w14:paraId="1C470147" w14:textId="77777777" w:rsidR="001B7DC8" w:rsidRPr="001B7DC8" w:rsidRDefault="001B7DC8" w:rsidP="009C49B1">
            <w:pPr>
              <w:rPr>
                <w:sz w:val="18"/>
                <w:szCs w:val="18"/>
                <w:lang w:val="en-GB"/>
              </w:rPr>
            </w:pPr>
            <w:r w:rsidRPr="001B7DC8">
              <w:rPr>
                <w:b/>
                <w:sz w:val="18"/>
                <w:szCs w:val="18"/>
                <w:lang w:val="en-GB"/>
              </w:rPr>
              <w:t>Domain/Composite (0–100)</w:t>
            </w:r>
          </w:p>
        </w:tc>
        <w:tc>
          <w:tcPr>
            <w:tcW w:w="960" w:type="dxa"/>
          </w:tcPr>
          <w:p w14:paraId="6B08CBDE" w14:textId="77777777" w:rsidR="001B7DC8" w:rsidRPr="001B7DC8" w:rsidRDefault="001B7DC8" w:rsidP="009C49B1">
            <w:pPr>
              <w:rPr>
                <w:sz w:val="18"/>
                <w:szCs w:val="18"/>
                <w:lang w:val="en-GB"/>
              </w:rPr>
            </w:pPr>
            <w:r w:rsidRPr="001B7DC8">
              <w:rPr>
                <w:b/>
                <w:sz w:val="18"/>
                <w:szCs w:val="18"/>
                <w:lang w:val="en-GB"/>
              </w:rPr>
              <w:t>Consultation mean (SD)</w:t>
            </w:r>
          </w:p>
        </w:tc>
        <w:tc>
          <w:tcPr>
            <w:tcW w:w="960" w:type="dxa"/>
          </w:tcPr>
          <w:p w14:paraId="4B820400" w14:textId="77777777" w:rsidR="001B7DC8" w:rsidRPr="001B7DC8" w:rsidRDefault="001B7DC8" w:rsidP="009C49B1">
            <w:pPr>
              <w:rPr>
                <w:sz w:val="18"/>
                <w:szCs w:val="18"/>
                <w:lang w:val="en-GB"/>
              </w:rPr>
            </w:pPr>
            <w:r w:rsidRPr="001B7DC8">
              <w:rPr>
                <w:b/>
                <w:sz w:val="18"/>
                <w:szCs w:val="18"/>
                <w:lang w:val="en-GB"/>
              </w:rPr>
              <w:t>n</w:t>
            </w:r>
          </w:p>
        </w:tc>
        <w:tc>
          <w:tcPr>
            <w:tcW w:w="960" w:type="dxa"/>
          </w:tcPr>
          <w:p w14:paraId="55E053AF" w14:textId="77777777" w:rsidR="001B7DC8" w:rsidRPr="001B7DC8" w:rsidRDefault="001B7DC8" w:rsidP="009C49B1">
            <w:pPr>
              <w:rPr>
                <w:sz w:val="18"/>
                <w:szCs w:val="18"/>
                <w:lang w:val="en-GB"/>
              </w:rPr>
            </w:pPr>
            <w:r w:rsidRPr="001B7DC8">
              <w:rPr>
                <w:b/>
                <w:sz w:val="18"/>
                <w:szCs w:val="18"/>
                <w:lang w:val="en-GB"/>
              </w:rPr>
              <w:t>Operated mean (SD)</w:t>
            </w:r>
          </w:p>
        </w:tc>
        <w:tc>
          <w:tcPr>
            <w:tcW w:w="960" w:type="dxa"/>
          </w:tcPr>
          <w:p w14:paraId="19F738B1" w14:textId="77777777" w:rsidR="001B7DC8" w:rsidRPr="001B7DC8" w:rsidRDefault="001B7DC8" w:rsidP="009C49B1">
            <w:pPr>
              <w:rPr>
                <w:sz w:val="18"/>
                <w:szCs w:val="18"/>
                <w:lang w:val="en-GB"/>
              </w:rPr>
            </w:pPr>
            <w:r w:rsidRPr="001B7DC8">
              <w:rPr>
                <w:b/>
                <w:sz w:val="18"/>
                <w:szCs w:val="18"/>
                <w:lang w:val="en-GB"/>
              </w:rPr>
              <w:t>n</w:t>
            </w:r>
          </w:p>
        </w:tc>
        <w:tc>
          <w:tcPr>
            <w:tcW w:w="960" w:type="dxa"/>
          </w:tcPr>
          <w:p w14:paraId="3C46A928" w14:textId="77777777" w:rsidR="001B7DC8" w:rsidRPr="001B7DC8" w:rsidRDefault="001B7DC8" w:rsidP="009C49B1">
            <w:pPr>
              <w:rPr>
                <w:sz w:val="18"/>
                <w:szCs w:val="18"/>
                <w:lang w:val="en-GB"/>
              </w:rPr>
            </w:pPr>
            <w:r w:rsidRPr="001B7DC8">
              <w:rPr>
                <w:b/>
                <w:sz w:val="18"/>
                <w:szCs w:val="18"/>
                <w:lang w:val="en-GB"/>
              </w:rPr>
              <w:t>Diff</w:t>
            </w:r>
          </w:p>
        </w:tc>
        <w:tc>
          <w:tcPr>
            <w:tcW w:w="960" w:type="dxa"/>
          </w:tcPr>
          <w:p w14:paraId="7DD4289D" w14:textId="77777777" w:rsidR="001B7DC8" w:rsidRPr="001B7DC8" w:rsidRDefault="001B7DC8" w:rsidP="009C49B1">
            <w:pPr>
              <w:rPr>
                <w:sz w:val="18"/>
                <w:szCs w:val="18"/>
                <w:lang w:val="en-GB"/>
              </w:rPr>
            </w:pPr>
            <w:r w:rsidRPr="001B7DC8">
              <w:rPr>
                <w:b/>
                <w:sz w:val="18"/>
                <w:szCs w:val="18"/>
                <w:lang w:val="en-GB"/>
              </w:rPr>
              <w:t>95% CI</w:t>
            </w:r>
          </w:p>
        </w:tc>
        <w:tc>
          <w:tcPr>
            <w:tcW w:w="960" w:type="dxa"/>
          </w:tcPr>
          <w:p w14:paraId="4F26FB02" w14:textId="77777777" w:rsidR="001B7DC8" w:rsidRPr="001B7DC8" w:rsidRDefault="001B7DC8" w:rsidP="009C49B1">
            <w:pPr>
              <w:rPr>
                <w:sz w:val="18"/>
                <w:szCs w:val="18"/>
                <w:lang w:val="en-GB"/>
              </w:rPr>
            </w:pPr>
            <w:r w:rsidRPr="001B7DC8">
              <w:rPr>
                <w:b/>
                <w:sz w:val="18"/>
                <w:szCs w:val="18"/>
                <w:lang w:val="en-GB"/>
              </w:rPr>
              <w:t>p</w:t>
            </w:r>
          </w:p>
        </w:tc>
        <w:tc>
          <w:tcPr>
            <w:tcW w:w="960" w:type="dxa"/>
          </w:tcPr>
          <w:p w14:paraId="25784BD4" w14:textId="77777777" w:rsidR="001B7DC8" w:rsidRPr="001B7DC8" w:rsidRDefault="001B7DC8" w:rsidP="009C49B1">
            <w:pPr>
              <w:rPr>
                <w:sz w:val="18"/>
                <w:szCs w:val="18"/>
                <w:lang w:val="en-GB"/>
              </w:rPr>
            </w:pPr>
            <w:r w:rsidRPr="001B7DC8">
              <w:rPr>
                <w:b/>
                <w:sz w:val="18"/>
                <w:szCs w:val="18"/>
                <w:lang w:val="en-GB"/>
              </w:rPr>
              <w:t>Hedges g</w:t>
            </w:r>
          </w:p>
        </w:tc>
      </w:tr>
      <w:tr w:rsidR="001B7DC8" w:rsidRPr="001B7DC8" w14:paraId="5D7762D3" w14:textId="77777777" w:rsidTr="009C49B1">
        <w:trPr>
          <w:jc w:val="center"/>
        </w:trPr>
        <w:tc>
          <w:tcPr>
            <w:tcW w:w="960" w:type="dxa"/>
          </w:tcPr>
          <w:p w14:paraId="44E902EF" w14:textId="77777777" w:rsidR="001B7DC8" w:rsidRPr="001B7DC8" w:rsidRDefault="001B7DC8" w:rsidP="009C49B1">
            <w:pPr>
              <w:rPr>
                <w:sz w:val="18"/>
                <w:szCs w:val="18"/>
                <w:lang w:val="en-GB"/>
              </w:rPr>
            </w:pPr>
            <w:r w:rsidRPr="001B7DC8">
              <w:rPr>
                <w:sz w:val="18"/>
                <w:szCs w:val="18"/>
                <w:lang w:val="en-GB"/>
              </w:rPr>
              <w:t>GH</w:t>
            </w:r>
          </w:p>
        </w:tc>
        <w:tc>
          <w:tcPr>
            <w:tcW w:w="960" w:type="dxa"/>
          </w:tcPr>
          <w:p w14:paraId="3A227513" w14:textId="77777777" w:rsidR="001B7DC8" w:rsidRPr="001B7DC8" w:rsidRDefault="001B7DC8" w:rsidP="009C49B1">
            <w:pPr>
              <w:rPr>
                <w:sz w:val="18"/>
                <w:szCs w:val="18"/>
                <w:lang w:val="en-GB"/>
              </w:rPr>
            </w:pPr>
            <w:r w:rsidRPr="001B7DC8">
              <w:rPr>
                <w:sz w:val="18"/>
                <w:szCs w:val="18"/>
                <w:lang w:val="en-GB"/>
              </w:rPr>
              <w:t>39.2 (26.0)</w:t>
            </w:r>
          </w:p>
        </w:tc>
        <w:tc>
          <w:tcPr>
            <w:tcW w:w="960" w:type="dxa"/>
          </w:tcPr>
          <w:p w14:paraId="56F2231B" w14:textId="77777777" w:rsidR="001B7DC8" w:rsidRPr="001B7DC8" w:rsidRDefault="001B7DC8" w:rsidP="009C49B1">
            <w:pPr>
              <w:rPr>
                <w:sz w:val="18"/>
                <w:szCs w:val="18"/>
                <w:lang w:val="en-GB"/>
              </w:rPr>
            </w:pPr>
            <w:r w:rsidRPr="001B7DC8">
              <w:rPr>
                <w:sz w:val="18"/>
                <w:szCs w:val="18"/>
                <w:lang w:val="en-GB"/>
              </w:rPr>
              <w:t>111</w:t>
            </w:r>
          </w:p>
        </w:tc>
        <w:tc>
          <w:tcPr>
            <w:tcW w:w="960" w:type="dxa"/>
          </w:tcPr>
          <w:p w14:paraId="2239AE68" w14:textId="77777777" w:rsidR="001B7DC8" w:rsidRPr="001B7DC8" w:rsidRDefault="001B7DC8" w:rsidP="009C49B1">
            <w:pPr>
              <w:rPr>
                <w:sz w:val="18"/>
                <w:szCs w:val="18"/>
                <w:lang w:val="en-GB"/>
              </w:rPr>
            </w:pPr>
            <w:r w:rsidRPr="001B7DC8">
              <w:rPr>
                <w:sz w:val="18"/>
                <w:szCs w:val="18"/>
                <w:lang w:val="en-GB"/>
              </w:rPr>
              <w:t>50.6 (22.7)</w:t>
            </w:r>
          </w:p>
        </w:tc>
        <w:tc>
          <w:tcPr>
            <w:tcW w:w="960" w:type="dxa"/>
          </w:tcPr>
          <w:p w14:paraId="19E49F54" w14:textId="77777777" w:rsidR="001B7DC8" w:rsidRPr="001B7DC8" w:rsidRDefault="001B7DC8" w:rsidP="009C49B1">
            <w:pPr>
              <w:rPr>
                <w:sz w:val="18"/>
                <w:szCs w:val="18"/>
                <w:lang w:val="en-GB"/>
              </w:rPr>
            </w:pPr>
            <w:r w:rsidRPr="001B7DC8">
              <w:rPr>
                <w:sz w:val="18"/>
                <w:szCs w:val="18"/>
                <w:lang w:val="en-GB"/>
              </w:rPr>
              <w:t>81</w:t>
            </w:r>
          </w:p>
        </w:tc>
        <w:tc>
          <w:tcPr>
            <w:tcW w:w="960" w:type="dxa"/>
          </w:tcPr>
          <w:p w14:paraId="72C1214B" w14:textId="77777777" w:rsidR="001B7DC8" w:rsidRPr="001B7DC8" w:rsidRDefault="001B7DC8" w:rsidP="009C49B1">
            <w:pPr>
              <w:rPr>
                <w:sz w:val="18"/>
                <w:szCs w:val="18"/>
                <w:lang w:val="en-GB"/>
              </w:rPr>
            </w:pPr>
            <w:r w:rsidRPr="001B7DC8">
              <w:rPr>
                <w:sz w:val="18"/>
                <w:szCs w:val="18"/>
                <w:lang w:val="en-GB"/>
              </w:rPr>
              <w:t>11.4</w:t>
            </w:r>
          </w:p>
        </w:tc>
        <w:tc>
          <w:tcPr>
            <w:tcW w:w="960" w:type="dxa"/>
          </w:tcPr>
          <w:p w14:paraId="76273AE5" w14:textId="77777777" w:rsidR="001B7DC8" w:rsidRPr="001B7DC8" w:rsidRDefault="001B7DC8" w:rsidP="009C49B1">
            <w:pPr>
              <w:rPr>
                <w:sz w:val="18"/>
                <w:szCs w:val="18"/>
                <w:lang w:val="en-GB"/>
              </w:rPr>
            </w:pPr>
            <w:r w:rsidRPr="001B7DC8">
              <w:rPr>
                <w:sz w:val="18"/>
                <w:szCs w:val="18"/>
                <w:lang w:val="en-GB"/>
              </w:rPr>
              <w:t>4.5 to 18.4</w:t>
            </w:r>
          </w:p>
        </w:tc>
        <w:tc>
          <w:tcPr>
            <w:tcW w:w="960" w:type="dxa"/>
          </w:tcPr>
          <w:p w14:paraId="5A0B5EBF" w14:textId="77777777" w:rsidR="001B7DC8" w:rsidRPr="001B7DC8" w:rsidRDefault="001B7DC8" w:rsidP="009C49B1">
            <w:pPr>
              <w:rPr>
                <w:sz w:val="18"/>
                <w:szCs w:val="18"/>
                <w:lang w:val="en-GB"/>
              </w:rPr>
            </w:pPr>
            <w:r w:rsidRPr="001B7DC8">
              <w:rPr>
                <w:sz w:val="18"/>
                <w:szCs w:val="18"/>
                <w:lang w:val="en-GB"/>
              </w:rPr>
              <w:t>0.001433</w:t>
            </w:r>
          </w:p>
        </w:tc>
        <w:tc>
          <w:tcPr>
            <w:tcW w:w="960" w:type="dxa"/>
          </w:tcPr>
          <w:p w14:paraId="013EB376" w14:textId="77777777" w:rsidR="001B7DC8" w:rsidRPr="001B7DC8" w:rsidRDefault="001B7DC8" w:rsidP="009C49B1">
            <w:pPr>
              <w:rPr>
                <w:sz w:val="18"/>
                <w:szCs w:val="18"/>
                <w:lang w:val="en-GB"/>
              </w:rPr>
            </w:pPr>
            <w:r w:rsidRPr="001B7DC8">
              <w:rPr>
                <w:sz w:val="18"/>
                <w:szCs w:val="18"/>
                <w:lang w:val="en-GB"/>
              </w:rPr>
              <w:t>0.46</w:t>
            </w:r>
          </w:p>
        </w:tc>
      </w:tr>
      <w:tr w:rsidR="001B7DC8" w:rsidRPr="001B7DC8" w14:paraId="3CEE1F77" w14:textId="77777777" w:rsidTr="009C49B1">
        <w:trPr>
          <w:jc w:val="center"/>
        </w:trPr>
        <w:tc>
          <w:tcPr>
            <w:tcW w:w="960" w:type="dxa"/>
          </w:tcPr>
          <w:p w14:paraId="481711E5" w14:textId="77777777" w:rsidR="001B7DC8" w:rsidRPr="001B7DC8" w:rsidRDefault="001B7DC8" w:rsidP="009C49B1">
            <w:pPr>
              <w:rPr>
                <w:sz w:val="18"/>
                <w:szCs w:val="18"/>
                <w:lang w:val="en-GB"/>
              </w:rPr>
            </w:pPr>
            <w:r w:rsidRPr="001B7DC8">
              <w:rPr>
                <w:sz w:val="18"/>
                <w:szCs w:val="18"/>
                <w:lang w:val="en-GB"/>
              </w:rPr>
              <w:t>PF</w:t>
            </w:r>
          </w:p>
        </w:tc>
        <w:tc>
          <w:tcPr>
            <w:tcW w:w="960" w:type="dxa"/>
          </w:tcPr>
          <w:p w14:paraId="381649F2" w14:textId="77777777" w:rsidR="001B7DC8" w:rsidRPr="001B7DC8" w:rsidRDefault="001B7DC8" w:rsidP="009C49B1">
            <w:pPr>
              <w:rPr>
                <w:sz w:val="18"/>
                <w:szCs w:val="18"/>
                <w:lang w:val="en-GB"/>
              </w:rPr>
            </w:pPr>
            <w:r w:rsidRPr="001B7DC8">
              <w:rPr>
                <w:sz w:val="18"/>
                <w:szCs w:val="18"/>
                <w:lang w:val="en-GB"/>
              </w:rPr>
              <w:t>61.0 (30.1)</w:t>
            </w:r>
          </w:p>
        </w:tc>
        <w:tc>
          <w:tcPr>
            <w:tcW w:w="960" w:type="dxa"/>
          </w:tcPr>
          <w:p w14:paraId="4A1F94E4" w14:textId="77777777" w:rsidR="001B7DC8" w:rsidRPr="001B7DC8" w:rsidRDefault="001B7DC8" w:rsidP="009C49B1">
            <w:pPr>
              <w:rPr>
                <w:sz w:val="18"/>
                <w:szCs w:val="18"/>
                <w:lang w:val="en-GB"/>
              </w:rPr>
            </w:pPr>
            <w:r w:rsidRPr="001B7DC8">
              <w:rPr>
                <w:sz w:val="18"/>
                <w:szCs w:val="18"/>
                <w:lang w:val="en-GB"/>
              </w:rPr>
              <w:t>111</w:t>
            </w:r>
          </w:p>
        </w:tc>
        <w:tc>
          <w:tcPr>
            <w:tcW w:w="960" w:type="dxa"/>
          </w:tcPr>
          <w:p w14:paraId="389FCFB6" w14:textId="77777777" w:rsidR="001B7DC8" w:rsidRPr="001B7DC8" w:rsidRDefault="001B7DC8" w:rsidP="009C49B1">
            <w:pPr>
              <w:rPr>
                <w:sz w:val="18"/>
                <w:szCs w:val="18"/>
                <w:lang w:val="en-GB"/>
              </w:rPr>
            </w:pPr>
            <w:r w:rsidRPr="001B7DC8">
              <w:rPr>
                <w:sz w:val="18"/>
                <w:szCs w:val="18"/>
                <w:lang w:val="en-GB"/>
              </w:rPr>
              <w:t>73.4 (30.3)</w:t>
            </w:r>
          </w:p>
        </w:tc>
        <w:tc>
          <w:tcPr>
            <w:tcW w:w="960" w:type="dxa"/>
          </w:tcPr>
          <w:p w14:paraId="65F04DA2" w14:textId="77777777" w:rsidR="001B7DC8" w:rsidRPr="001B7DC8" w:rsidRDefault="001B7DC8" w:rsidP="009C49B1">
            <w:pPr>
              <w:rPr>
                <w:sz w:val="18"/>
                <w:szCs w:val="18"/>
                <w:lang w:val="en-GB"/>
              </w:rPr>
            </w:pPr>
            <w:r w:rsidRPr="001B7DC8">
              <w:rPr>
                <w:sz w:val="18"/>
                <w:szCs w:val="18"/>
                <w:lang w:val="en-GB"/>
              </w:rPr>
              <w:t>79</w:t>
            </w:r>
          </w:p>
        </w:tc>
        <w:tc>
          <w:tcPr>
            <w:tcW w:w="960" w:type="dxa"/>
          </w:tcPr>
          <w:p w14:paraId="4EDF3BDB" w14:textId="77777777" w:rsidR="001B7DC8" w:rsidRPr="001B7DC8" w:rsidRDefault="001B7DC8" w:rsidP="009C49B1">
            <w:pPr>
              <w:rPr>
                <w:sz w:val="18"/>
                <w:szCs w:val="18"/>
                <w:lang w:val="en-GB"/>
              </w:rPr>
            </w:pPr>
            <w:r w:rsidRPr="001B7DC8">
              <w:rPr>
                <w:sz w:val="18"/>
                <w:szCs w:val="18"/>
                <w:lang w:val="en-GB"/>
              </w:rPr>
              <w:t>12.4</w:t>
            </w:r>
          </w:p>
        </w:tc>
        <w:tc>
          <w:tcPr>
            <w:tcW w:w="960" w:type="dxa"/>
          </w:tcPr>
          <w:p w14:paraId="65083200" w14:textId="77777777" w:rsidR="001B7DC8" w:rsidRPr="001B7DC8" w:rsidRDefault="001B7DC8" w:rsidP="009C49B1">
            <w:pPr>
              <w:rPr>
                <w:sz w:val="18"/>
                <w:szCs w:val="18"/>
                <w:lang w:val="en-GB"/>
              </w:rPr>
            </w:pPr>
            <w:r w:rsidRPr="001B7DC8">
              <w:rPr>
                <w:sz w:val="18"/>
                <w:szCs w:val="18"/>
                <w:lang w:val="en-GB"/>
              </w:rPr>
              <w:t>3.6 to 21.2</w:t>
            </w:r>
          </w:p>
        </w:tc>
        <w:tc>
          <w:tcPr>
            <w:tcW w:w="960" w:type="dxa"/>
          </w:tcPr>
          <w:p w14:paraId="067303FE" w14:textId="77777777" w:rsidR="001B7DC8" w:rsidRPr="001B7DC8" w:rsidRDefault="001B7DC8" w:rsidP="009C49B1">
            <w:pPr>
              <w:rPr>
                <w:sz w:val="18"/>
                <w:szCs w:val="18"/>
                <w:lang w:val="en-GB"/>
              </w:rPr>
            </w:pPr>
            <w:r w:rsidRPr="001B7DC8">
              <w:rPr>
                <w:sz w:val="18"/>
                <w:szCs w:val="18"/>
                <w:lang w:val="en-GB"/>
              </w:rPr>
              <w:t>0.006</w:t>
            </w:r>
          </w:p>
        </w:tc>
        <w:tc>
          <w:tcPr>
            <w:tcW w:w="960" w:type="dxa"/>
          </w:tcPr>
          <w:p w14:paraId="056CE086" w14:textId="77777777" w:rsidR="001B7DC8" w:rsidRPr="001B7DC8" w:rsidRDefault="001B7DC8" w:rsidP="009C49B1">
            <w:pPr>
              <w:rPr>
                <w:sz w:val="18"/>
                <w:szCs w:val="18"/>
                <w:lang w:val="en-GB"/>
              </w:rPr>
            </w:pPr>
            <w:r w:rsidRPr="001B7DC8">
              <w:rPr>
                <w:sz w:val="18"/>
                <w:szCs w:val="18"/>
                <w:lang w:val="en-GB"/>
              </w:rPr>
              <w:t>0.41</w:t>
            </w:r>
          </w:p>
        </w:tc>
      </w:tr>
      <w:tr w:rsidR="001B7DC8" w:rsidRPr="001B7DC8" w14:paraId="16EB6688" w14:textId="77777777" w:rsidTr="009C49B1">
        <w:trPr>
          <w:jc w:val="center"/>
        </w:trPr>
        <w:tc>
          <w:tcPr>
            <w:tcW w:w="960" w:type="dxa"/>
          </w:tcPr>
          <w:p w14:paraId="1639E735" w14:textId="77777777" w:rsidR="001B7DC8" w:rsidRPr="001B7DC8" w:rsidRDefault="001B7DC8" w:rsidP="009C49B1">
            <w:pPr>
              <w:rPr>
                <w:sz w:val="18"/>
                <w:szCs w:val="18"/>
                <w:lang w:val="en-GB"/>
              </w:rPr>
            </w:pPr>
            <w:r w:rsidRPr="001B7DC8">
              <w:rPr>
                <w:sz w:val="18"/>
                <w:szCs w:val="18"/>
                <w:lang w:val="en-GB"/>
              </w:rPr>
              <w:t>RP</w:t>
            </w:r>
          </w:p>
        </w:tc>
        <w:tc>
          <w:tcPr>
            <w:tcW w:w="960" w:type="dxa"/>
          </w:tcPr>
          <w:p w14:paraId="4667A0F7" w14:textId="77777777" w:rsidR="001B7DC8" w:rsidRPr="001B7DC8" w:rsidRDefault="001B7DC8" w:rsidP="009C49B1">
            <w:pPr>
              <w:rPr>
                <w:sz w:val="18"/>
                <w:szCs w:val="18"/>
                <w:lang w:val="en-GB"/>
              </w:rPr>
            </w:pPr>
            <w:r w:rsidRPr="001B7DC8">
              <w:rPr>
                <w:sz w:val="18"/>
                <w:szCs w:val="18"/>
                <w:lang w:val="en-GB"/>
              </w:rPr>
              <w:t>25.5 (39.0)</w:t>
            </w:r>
          </w:p>
        </w:tc>
        <w:tc>
          <w:tcPr>
            <w:tcW w:w="960" w:type="dxa"/>
          </w:tcPr>
          <w:p w14:paraId="1096ECDD" w14:textId="77777777" w:rsidR="001B7DC8" w:rsidRPr="001B7DC8" w:rsidRDefault="001B7DC8" w:rsidP="009C49B1">
            <w:pPr>
              <w:rPr>
                <w:sz w:val="18"/>
                <w:szCs w:val="18"/>
                <w:lang w:val="en-GB"/>
              </w:rPr>
            </w:pPr>
            <w:r w:rsidRPr="001B7DC8">
              <w:rPr>
                <w:sz w:val="18"/>
                <w:szCs w:val="18"/>
                <w:lang w:val="en-GB"/>
              </w:rPr>
              <w:t>108</w:t>
            </w:r>
          </w:p>
        </w:tc>
        <w:tc>
          <w:tcPr>
            <w:tcW w:w="960" w:type="dxa"/>
          </w:tcPr>
          <w:p w14:paraId="0909988E" w14:textId="77777777" w:rsidR="001B7DC8" w:rsidRPr="001B7DC8" w:rsidRDefault="001B7DC8" w:rsidP="009C49B1">
            <w:pPr>
              <w:rPr>
                <w:sz w:val="18"/>
                <w:szCs w:val="18"/>
                <w:lang w:val="en-GB"/>
              </w:rPr>
            </w:pPr>
            <w:r w:rsidRPr="001B7DC8">
              <w:rPr>
                <w:sz w:val="18"/>
                <w:szCs w:val="18"/>
                <w:lang w:val="en-GB"/>
              </w:rPr>
              <w:t>50.0 (46.3)</w:t>
            </w:r>
          </w:p>
        </w:tc>
        <w:tc>
          <w:tcPr>
            <w:tcW w:w="960" w:type="dxa"/>
          </w:tcPr>
          <w:p w14:paraId="502E30E3" w14:textId="77777777" w:rsidR="001B7DC8" w:rsidRPr="001B7DC8" w:rsidRDefault="001B7DC8" w:rsidP="009C49B1">
            <w:pPr>
              <w:rPr>
                <w:sz w:val="18"/>
                <w:szCs w:val="18"/>
                <w:lang w:val="en-GB"/>
              </w:rPr>
            </w:pPr>
            <w:r w:rsidRPr="001B7DC8">
              <w:rPr>
                <w:sz w:val="18"/>
                <w:szCs w:val="18"/>
                <w:lang w:val="en-GB"/>
              </w:rPr>
              <w:t>78</w:t>
            </w:r>
          </w:p>
        </w:tc>
        <w:tc>
          <w:tcPr>
            <w:tcW w:w="960" w:type="dxa"/>
          </w:tcPr>
          <w:p w14:paraId="1716623D" w14:textId="77777777" w:rsidR="001B7DC8" w:rsidRPr="001B7DC8" w:rsidRDefault="001B7DC8" w:rsidP="009C49B1">
            <w:pPr>
              <w:rPr>
                <w:sz w:val="18"/>
                <w:szCs w:val="18"/>
                <w:lang w:val="en-GB"/>
              </w:rPr>
            </w:pPr>
            <w:r w:rsidRPr="001B7DC8">
              <w:rPr>
                <w:sz w:val="18"/>
                <w:szCs w:val="18"/>
                <w:lang w:val="en-GB"/>
              </w:rPr>
              <w:t>24.5</w:t>
            </w:r>
          </w:p>
        </w:tc>
        <w:tc>
          <w:tcPr>
            <w:tcW w:w="960" w:type="dxa"/>
          </w:tcPr>
          <w:p w14:paraId="50C3759B" w14:textId="77777777" w:rsidR="001B7DC8" w:rsidRPr="001B7DC8" w:rsidRDefault="001B7DC8" w:rsidP="009C49B1">
            <w:pPr>
              <w:rPr>
                <w:sz w:val="18"/>
                <w:szCs w:val="18"/>
                <w:lang w:val="en-GB"/>
              </w:rPr>
            </w:pPr>
            <w:r w:rsidRPr="001B7DC8">
              <w:rPr>
                <w:sz w:val="18"/>
                <w:szCs w:val="18"/>
                <w:lang w:val="en-GB"/>
              </w:rPr>
              <w:t>11.8 to 37.3</w:t>
            </w:r>
          </w:p>
        </w:tc>
        <w:tc>
          <w:tcPr>
            <w:tcW w:w="960" w:type="dxa"/>
          </w:tcPr>
          <w:p w14:paraId="7583A508" w14:textId="77777777" w:rsidR="001B7DC8" w:rsidRPr="001B7DC8" w:rsidRDefault="001B7DC8" w:rsidP="009C49B1">
            <w:pPr>
              <w:rPr>
                <w:sz w:val="18"/>
                <w:szCs w:val="18"/>
                <w:lang w:val="en-GB"/>
              </w:rPr>
            </w:pPr>
            <w:r w:rsidRPr="001B7DC8">
              <w:rPr>
                <w:sz w:val="18"/>
                <w:szCs w:val="18"/>
                <w:lang w:val="en-GB"/>
              </w:rPr>
              <w:t>0.0002051</w:t>
            </w:r>
          </w:p>
        </w:tc>
        <w:tc>
          <w:tcPr>
            <w:tcW w:w="960" w:type="dxa"/>
          </w:tcPr>
          <w:p w14:paraId="565F090F" w14:textId="77777777" w:rsidR="001B7DC8" w:rsidRPr="001B7DC8" w:rsidRDefault="001B7DC8" w:rsidP="009C49B1">
            <w:pPr>
              <w:rPr>
                <w:sz w:val="18"/>
                <w:szCs w:val="18"/>
                <w:lang w:val="en-GB"/>
              </w:rPr>
            </w:pPr>
            <w:r w:rsidRPr="001B7DC8">
              <w:rPr>
                <w:sz w:val="18"/>
                <w:szCs w:val="18"/>
                <w:lang w:val="en-GB"/>
              </w:rPr>
              <w:t>0.58</w:t>
            </w:r>
          </w:p>
        </w:tc>
      </w:tr>
      <w:tr w:rsidR="001B7DC8" w:rsidRPr="001B7DC8" w14:paraId="67AD73DD" w14:textId="77777777" w:rsidTr="009C49B1">
        <w:trPr>
          <w:jc w:val="center"/>
        </w:trPr>
        <w:tc>
          <w:tcPr>
            <w:tcW w:w="960" w:type="dxa"/>
          </w:tcPr>
          <w:p w14:paraId="5FC94054" w14:textId="77777777" w:rsidR="001B7DC8" w:rsidRPr="001B7DC8" w:rsidRDefault="001B7DC8" w:rsidP="009C49B1">
            <w:pPr>
              <w:rPr>
                <w:sz w:val="18"/>
                <w:szCs w:val="18"/>
                <w:lang w:val="en-GB"/>
              </w:rPr>
            </w:pPr>
            <w:r w:rsidRPr="001B7DC8">
              <w:rPr>
                <w:sz w:val="18"/>
                <w:szCs w:val="18"/>
                <w:lang w:val="en-GB"/>
              </w:rPr>
              <w:t>BP</w:t>
            </w:r>
          </w:p>
        </w:tc>
        <w:tc>
          <w:tcPr>
            <w:tcW w:w="960" w:type="dxa"/>
          </w:tcPr>
          <w:p w14:paraId="46B5B6F3" w14:textId="77777777" w:rsidR="001B7DC8" w:rsidRPr="001B7DC8" w:rsidRDefault="001B7DC8" w:rsidP="009C49B1">
            <w:pPr>
              <w:rPr>
                <w:sz w:val="18"/>
                <w:szCs w:val="18"/>
                <w:lang w:val="en-GB"/>
              </w:rPr>
            </w:pPr>
            <w:r w:rsidRPr="001B7DC8">
              <w:rPr>
                <w:sz w:val="18"/>
                <w:szCs w:val="18"/>
                <w:lang w:val="en-GB"/>
              </w:rPr>
              <w:t>50.0 (29.2)</w:t>
            </w:r>
          </w:p>
        </w:tc>
        <w:tc>
          <w:tcPr>
            <w:tcW w:w="960" w:type="dxa"/>
          </w:tcPr>
          <w:p w14:paraId="4438595A" w14:textId="77777777" w:rsidR="001B7DC8" w:rsidRPr="001B7DC8" w:rsidRDefault="001B7DC8" w:rsidP="009C49B1">
            <w:pPr>
              <w:rPr>
                <w:sz w:val="18"/>
                <w:szCs w:val="18"/>
                <w:lang w:val="en-GB"/>
              </w:rPr>
            </w:pPr>
            <w:r w:rsidRPr="001B7DC8">
              <w:rPr>
                <w:sz w:val="18"/>
                <w:szCs w:val="18"/>
                <w:lang w:val="en-GB"/>
              </w:rPr>
              <w:t>105</w:t>
            </w:r>
          </w:p>
        </w:tc>
        <w:tc>
          <w:tcPr>
            <w:tcW w:w="960" w:type="dxa"/>
          </w:tcPr>
          <w:p w14:paraId="40C899B4" w14:textId="77777777" w:rsidR="001B7DC8" w:rsidRPr="001B7DC8" w:rsidRDefault="001B7DC8" w:rsidP="009C49B1">
            <w:pPr>
              <w:rPr>
                <w:sz w:val="18"/>
                <w:szCs w:val="18"/>
                <w:lang w:val="en-GB"/>
              </w:rPr>
            </w:pPr>
            <w:r w:rsidRPr="001B7DC8">
              <w:rPr>
                <w:sz w:val="18"/>
                <w:szCs w:val="18"/>
                <w:lang w:val="en-GB"/>
              </w:rPr>
              <w:t>62.5 (29.0)</w:t>
            </w:r>
          </w:p>
        </w:tc>
        <w:tc>
          <w:tcPr>
            <w:tcW w:w="960" w:type="dxa"/>
          </w:tcPr>
          <w:p w14:paraId="6ABD5738" w14:textId="77777777" w:rsidR="001B7DC8" w:rsidRPr="001B7DC8" w:rsidRDefault="001B7DC8" w:rsidP="009C49B1">
            <w:pPr>
              <w:rPr>
                <w:sz w:val="18"/>
                <w:szCs w:val="18"/>
                <w:lang w:val="en-GB"/>
              </w:rPr>
            </w:pPr>
            <w:r w:rsidRPr="001B7DC8">
              <w:rPr>
                <w:sz w:val="18"/>
                <w:szCs w:val="18"/>
                <w:lang w:val="en-GB"/>
              </w:rPr>
              <w:t>76</w:t>
            </w:r>
          </w:p>
        </w:tc>
        <w:tc>
          <w:tcPr>
            <w:tcW w:w="960" w:type="dxa"/>
          </w:tcPr>
          <w:p w14:paraId="7CC7EE76" w14:textId="77777777" w:rsidR="001B7DC8" w:rsidRPr="001B7DC8" w:rsidRDefault="001B7DC8" w:rsidP="009C49B1">
            <w:pPr>
              <w:rPr>
                <w:sz w:val="18"/>
                <w:szCs w:val="18"/>
                <w:lang w:val="en-GB"/>
              </w:rPr>
            </w:pPr>
            <w:r w:rsidRPr="001B7DC8">
              <w:rPr>
                <w:sz w:val="18"/>
                <w:szCs w:val="18"/>
                <w:lang w:val="en-GB"/>
              </w:rPr>
              <w:t>12.5</w:t>
            </w:r>
          </w:p>
        </w:tc>
        <w:tc>
          <w:tcPr>
            <w:tcW w:w="960" w:type="dxa"/>
          </w:tcPr>
          <w:p w14:paraId="1D140D05" w14:textId="77777777" w:rsidR="001B7DC8" w:rsidRPr="001B7DC8" w:rsidRDefault="001B7DC8" w:rsidP="009C49B1">
            <w:pPr>
              <w:rPr>
                <w:sz w:val="18"/>
                <w:szCs w:val="18"/>
                <w:lang w:val="en-GB"/>
              </w:rPr>
            </w:pPr>
            <w:r w:rsidRPr="001B7DC8">
              <w:rPr>
                <w:sz w:val="18"/>
                <w:szCs w:val="18"/>
                <w:lang w:val="en-GB"/>
              </w:rPr>
              <w:t>3.8 to 21.2</w:t>
            </w:r>
          </w:p>
        </w:tc>
        <w:tc>
          <w:tcPr>
            <w:tcW w:w="960" w:type="dxa"/>
          </w:tcPr>
          <w:p w14:paraId="25443EBA" w14:textId="77777777" w:rsidR="001B7DC8" w:rsidRPr="001B7DC8" w:rsidRDefault="001B7DC8" w:rsidP="009C49B1">
            <w:pPr>
              <w:rPr>
                <w:sz w:val="18"/>
                <w:szCs w:val="18"/>
                <w:lang w:val="en-GB"/>
              </w:rPr>
            </w:pPr>
            <w:r w:rsidRPr="001B7DC8">
              <w:rPr>
                <w:sz w:val="18"/>
                <w:szCs w:val="18"/>
                <w:lang w:val="en-GB"/>
              </w:rPr>
              <w:t>0.004901</w:t>
            </w:r>
          </w:p>
        </w:tc>
        <w:tc>
          <w:tcPr>
            <w:tcW w:w="960" w:type="dxa"/>
          </w:tcPr>
          <w:p w14:paraId="46272B1B" w14:textId="77777777" w:rsidR="001B7DC8" w:rsidRPr="001B7DC8" w:rsidRDefault="001B7DC8" w:rsidP="009C49B1">
            <w:pPr>
              <w:rPr>
                <w:sz w:val="18"/>
                <w:szCs w:val="18"/>
                <w:lang w:val="en-GB"/>
              </w:rPr>
            </w:pPr>
            <w:r w:rsidRPr="001B7DC8">
              <w:rPr>
                <w:sz w:val="18"/>
                <w:szCs w:val="18"/>
                <w:lang w:val="en-GB"/>
              </w:rPr>
              <w:t>0.43</w:t>
            </w:r>
          </w:p>
        </w:tc>
      </w:tr>
      <w:tr w:rsidR="001B7DC8" w:rsidRPr="001B7DC8" w14:paraId="375A638C" w14:textId="77777777" w:rsidTr="009C49B1">
        <w:trPr>
          <w:jc w:val="center"/>
        </w:trPr>
        <w:tc>
          <w:tcPr>
            <w:tcW w:w="960" w:type="dxa"/>
          </w:tcPr>
          <w:p w14:paraId="0442C2F3" w14:textId="77777777" w:rsidR="001B7DC8" w:rsidRPr="001B7DC8" w:rsidRDefault="001B7DC8" w:rsidP="009C49B1">
            <w:pPr>
              <w:rPr>
                <w:sz w:val="18"/>
                <w:szCs w:val="18"/>
                <w:lang w:val="en-GB"/>
              </w:rPr>
            </w:pPr>
            <w:r w:rsidRPr="001B7DC8">
              <w:rPr>
                <w:sz w:val="18"/>
                <w:szCs w:val="18"/>
                <w:lang w:val="en-GB"/>
              </w:rPr>
              <w:t>VT</w:t>
            </w:r>
          </w:p>
        </w:tc>
        <w:tc>
          <w:tcPr>
            <w:tcW w:w="960" w:type="dxa"/>
          </w:tcPr>
          <w:p w14:paraId="103D99B4" w14:textId="77777777" w:rsidR="001B7DC8" w:rsidRPr="001B7DC8" w:rsidRDefault="001B7DC8" w:rsidP="009C49B1">
            <w:pPr>
              <w:rPr>
                <w:sz w:val="18"/>
                <w:szCs w:val="18"/>
                <w:lang w:val="en-GB"/>
              </w:rPr>
            </w:pPr>
            <w:r w:rsidRPr="001B7DC8">
              <w:rPr>
                <w:sz w:val="18"/>
                <w:szCs w:val="18"/>
                <w:lang w:val="en-GB"/>
              </w:rPr>
              <w:t>21.4 (21.2)</w:t>
            </w:r>
          </w:p>
        </w:tc>
        <w:tc>
          <w:tcPr>
            <w:tcW w:w="960" w:type="dxa"/>
          </w:tcPr>
          <w:p w14:paraId="263E556D" w14:textId="77777777" w:rsidR="001B7DC8" w:rsidRPr="001B7DC8" w:rsidRDefault="001B7DC8" w:rsidP="009C49B1">
            <w:pPr>
              <w:rPr>
                <w:sz w:val="18"/>
                <w:szCs w:val="18"/>
                <w:lang w:val="en-GB"/>
              </w:rPr>
            </w:pPr>
            <w:r w:rsidRPr="001B7DC8">
              <w:rPr>
                <w:sz w:val="18"/>
                <w:szCs w:val="18"/>
                <w:lang w:val="en-GB"/>
              </w:rPr>
              <w:t>103</w:t>
            </w:r>
          </w:p>
        </w:tc>
        <w:tc>
          <w:tcPr>
            <w:tcW w:w="960" w:type="dxa"/>
          </w:tcPr>
          <w:p w14:paraId="405FF191" w14:textId="77777777" w:rsidR="001B7DC8" w:rsidRPr="001B7DC8" w:rsidRDefault="001B7DC8" w:rsidP="009C49B1">
            <w:pPr>
              <w:rPr>
                <w:sz w:val="18"/>
                <w:szCs w:val="18"/>
                <w:lang w:val="en-GB"/>
              </w:rPr>
            </w:pPr>
            <w:r w:rsidRPr="001B7DC8">
              <w:rPr>
                <w:sz w:val="18"/>
                <w:szCs w:val="18"/>
                <w:lang w:val="en-GB"/>
              </w:rPr>
              <w:t>34.8 (24.0)</w:t>
            </w:r>
          </w:p>
        </w:tc>
        <w:tc>
          <w:tcPr>
            <w:tcW w:w="960" w:type="dxa"/>
          </w:tcPr>
          <w:p w14:paraId="3BC31FA4" w14:textId="77777777" w:rsidR="001B7DC8" w:rsidRPr="001B7DC8" w:rsidRDefault="001B7DC8" w:rsidP="009C49B1">
            <w:pPr>
              <w:rPr>
                <w:sz w:val="18"/>
                <w:szCs w:val="18"/>
                <w:lang w:val="en-GB"/>
              </w:rPr>
            </w:pPr>
            <w:r w:rsidRPr="001B7DC8">
              <w:rPr>
                <w:sz w:val="18"/>
                <w:szCs w:val="18"/>
                <w:lang w:val="en-GB"/>
              </w:rPr>
              <w:t>73</w:t>
            </w:r>
          </w:p>
        </w:tc>
        <w:tc>
          <w:tcPr>
            <w:tcW w:w="960" w:type="dxa"/>
          </w:tcPr>
          <w:p w14:paraId="47A1B9DC" w14:textId="77777777" w:rsidR="001B7DC8" w:rsidRPr="001B7DC8" w:rsidRDefault="001B7DC8" w:rsidP="009C49B1">
            <w:pPr>
              <w:rPr>
                <w:sz w:val="18"/>
                <w:szCs w:val="18"/>
                <w:lang w:val="en-GB"/>
              </w:rPr>
            </w:pPr>
            <w:r w:rsidRPr="001B7DC8">
              <w:rPr>
                <w:sz w:val="18"/>
                <w:szCs w:val="18"/>
                <w:lang w:val="en-GB"/>
              </w:rPr>
              <w:t>13.4</w:t>
            </w:r>
          </w:p>
        </w:tc>
        <w:tc>
          <w:tcPr>
            <w:tcW w:w="960" w:type="dxa"/>
          </w:tcPr>
          <w:p w14:paraId="2263FA40" w14:textId="77777777" w:rsidR="001B7DC8" w:rsidRPr="001B7DC8" w:rsidRDefault="001B7DC8" w:rsidP="009C49B1">
            <w:pPr>
              <w:rPr>
                <w:sz w:val="18"/>
                <w:szCs w:val="18"/>
                <w:lang w:val="en-GB"/>
              </w:rPr>
            </w:pPr>
            <w:r w:rsidRPr="001B7DC8">
              <w:rPr>
                <w:sz w:val="18"/>
                <w:szCs w:val="18"/>
                <w:lang w:val="en-GB"/>
              </w:rPr>
              <w:t>6.5 to 20.4</w:t>
            </w:r>
          </w:p>
        </w:tc>
        <w:tc>
          <w:tcPr>
            <w:tcW w:w="960" w:type="dxa"/>
          </w:tcPr>
          <w:p w14:paraId="70842E1B" w14:textId="77777777" w:rsidR="001B7DC8" w:rsidRPr="001B7DC8" w:rsidRDefault="001B7DC8" w:rsidP="009C49B1">
            <w:pPr>
              <w:rPr>
                <w:sz w:val="18"/>
                <w:szCs w:val="18"/>
                <w:lang w:val="en-GB"/>
              </w:rPr>
            </w:pPr>
            <w:r w:rsidRPr="001B7DC8">
              <w:rPr>
                <w:sz w:val="18"/>
                <w:szCs w:val="18"/>
                <w:lang w:val="en-GB"/>
              </w:rPr>
              <w:t>0.0001885</w:t>
            </w:r>
          </w:p>
        </w:tc>
        <w:tc>
          <w:tcPr>
            <w:tcW w:w="960" w:type="dxa"/>
          </w:tcPr>
          <w:p w14:paraId="19E9BF3E" w14:textId="77777777" w:rsidR="001B7DC8" w:rsidRPr="001B7DC8" w:rsidRDefault="001B7DC8" w:rsidP="009C49B1">
            <w:pPr>
              <w:rPr>
                <w:sz w:val="18"/>
                <w:szCs w:val="18"/>
                <w:lang w:val="en-GB"/>
              </w:rPr>
            </w:pPr>
            <w:r w:rsidRPr="001B7DC8">
              <w:rPr>
                <w:sz w:val="18"/>
                <w:szCs w:val="18"/>
                <w:lang w:val="en-GB"/>
              </w:rPr>
              <w:t>0.60</w:t>
            </w:r>
          </w:p>
        </w:tc>
      </w:tr>
      <w:tr w:rsidR="001B7DC8" w:rsidRPr="001B7DC8" w14:paraId="2799E60C" w14:textId="77777777" w:rsidTr="009C49B1">
        <w:trPr>
          <w:jc w:val="center"/>
        </w:trPr>
        <w:tc>
          <w:tcPr>
            <w:tcW w:w="960" w:type="dxa"/>
          </w:tcPr>
          <w:p w14:paraId="21A9CA47" w14:textId="77777777" w:rsidR="001B7DC8" w:rsidRPr="001B7DC8" w:rsidRDefault="001B7DC8" w:rsidP="009C49B1">
            <w:pPr>
              <w:rPr>
                <w:sz w:val="18"/>
                <w:szCs w:val="18"/>
                <w:lang w:val="en-GB"/>
              </w:rPr>
            </w:pPr>
            <w:r w:rsidRPr="001B7DC8">
              <w:rPr>
                <w:sz w:val="18"/>
                <w:szCs w:val="18"/>
                <w:lang w:val="en-GB"/>
              </w:rPr>
              <w:t>SF</w:t>
            </w:r>
          </w:p>
        </w:tc>
        <w:tc>
          <w:tcPr>
            <w:tcW w:w="960" w:type="dxa"/>
          </w:tcPr>
          <w:p w14:paraId="09C1C629" w14:textId="77777777" w:rsidR="001B7DC8" w:rsidRPr="001B7DC8" w:rsidRDefault="001B7DC8" w:rsidP="009C49B1">
            <w:pPr>
              <w:rPr>
                <w:sz w:val="18"/>
                <w:szCs w:val="18"/>
                <w:lang w:val="en-GB"/>
              </w:rPr>
            </w:pPr>
            <w:r w:rsidRPr="001B7DC8">
              <w:rPr>
                <w:sz w:val="18"/>
                <w:szCs w:val="18"/>
                <w:lang w:val="en-GB"/>
              </w:rPr>
              <w:t>60.0 (28.0)</w:t>
            </w:r>
          </w:p>
        </w:tc>
        <w:tc>
          <w:tcPr>
            <w:tcW w:w="960" w:type="dxa"/>
          </w:tcPr>
          <w:p w14:paraId="69DBC77E" w14:textId="77777777" w:rsidR="001B7DC8" w:rsidRPr="001B7DC8" w:rsidRDefault="001B7DC8" w:rsidP="009C49B1">
            <w:pPr>
              <w:rPr>
                <w:sz w:val="18"/>
                <w:szCs w:val="18"/>
                <w:lang w:val="en-GB"/>
              </w:rPr>
            </w:pPr>
            <w:r w:rsidRPr="001B7DC8">
              <w:rPr>
                <w:sz w:val="18"/>
                <w:szCs w:val="18"/>
                <w:lang w:val="en-GB"/>
              </w:rPr>
              <w:t>102</w:t>
            </w:r>
          </w:p>
        </w:tc>
        <w:tc>
          <w:tcPr>
            <w:tcW w:w="960" w:type="dxa"/>
          </w:tcPr>
          <w:p w14:paraId="2F811A3F" w14:textId="77777777" w:rsidR="001B7DC8" w:rsidRPr="001B7DC8" w:rsidRDefault="001B7DC8" w:rsidP="009C49B1">
            <w:pPr>
              <w:rPr>
                <w:sz w:val="18"/>
                <w:szCs w:val="18"/>
                <w:lang w:val="en-GB"/>
              </w:rPr>
            </w:pPr>
            <w:r w:rsidRPr="001B7DC8">
              <w:rPr>
                <w:sz w:val="18"/>
                <w:szCs w:val="18"/>
                <w:lang w:val="en-GB"/>
              </w:rPr>
              <w:t>67.5 (28.4)</w:t>
            </w:r>
          </w:p>
        </w:tc>
        <w:tc>
          <w:tcPr>
            <w:tcW w:w="960" w:type="dxa"/>
          </w:tcPr>
          <w:p w14:paraId="06D8A4D4" w14:textId="77777777" w:rsidR="001B7DC8" w:rsidRPr="001B7DC8" w:rsidRDefault="001B7DC8" w:rsidP="009C49B1">
            <w:pPr>
              <w:rPr>
                <w:sz w:val="18"/>
                <w:szCs w:val="18"/>
                <w:lang w:val="en-GB"/>
              </w:rPr>
            </w:pPr>
            <w:r w:rsidRPr="001B7DC8">
              <w:rPr>
                <w:sz w:val="18"/>
                <w:szCs w:val="18"/>
                <w:lang w:val="en-GB"/>
              </w:rPr>
              <w:t>72</w:t>
            </w:r>
          </w:p>
        </w:tc>
        <w:tc>
          <w:tcPr>
            <w:tcW w:w="960" w:type="dxa"/>
          </w:tcPr>
          <w:p w14:paraId="4038067F" w14:textId="77777777" w:rsidR="001B7DC8" w:rsidRPr="001B7DC8" w:rsidRDefault="001B7DC8" w:rsidP="009C49B1">
            <w:pPr>
              <w:rPr>
                <w:sz w:val="18"/>
                <w:szCs w:val="18"/>
                <w:lang w:val="en-GB"/>
              </w:rPr>
            </w:pPr>
            <w:r w:rsidRPr="001B7DC8">
              <w:rPr>
                <w:sz w:val="18"/>
                <w:szCs w:val="18"/>
                <w:lang w:val="en-GB"/>
              </w:rPr>
              <w:t>7.5</w:t>
            </w:r>
          </w:p>
        </w:tc>
        <w:tc>
          <w:tcPr>
            <w:tcW w:w="960" w:type="dxa"/>
          </w:tcPr>
          <w:p w14:paraId="405E19CB" w14:textId="77777777" w:rsidR="001B7DC8" w:rsidRPr="001B7DC8" w:rsidRDefault="001B7DC8" w:rsidP="009C49B1">
            <w:pPr>
              <w:rPr>
                <w:sz w:val="18"/>
                <w:szCs w:val="18"/>
                <w:lang w:val="en-GB"/>
              </w:rPr>
            </w:pPr>
            <w:r w:rsidRPr="001B7DC8">
              <w:rPr>
                <w:sz w:val="18"/>
                <w:szCs w:val="18"/>
                <w:lang w:val="en-GB"/>
              </w:rPr>
              <w:t>-1.1 to 16.1</w:t>
            </w:r>
          </w:p>
        </w:tc>
        <w:tc>
          <w:tcPr>
            <w:tcW w:w="960" w:type="dxa"/>
          </w:tcPr>
          <w:p w14:paraId="75104A8C" w14:textId="77777777" w:rsidR="001B7DC8" w:rsidRPr="001B7DC8" w:rsidRDefault="001B7DC8" w:rsidP="009C49B1">
            <w:pPr>
              <w:rPr>
                <w:sz w:val="18"/>
                <w:szCs w:val="18"/>
                <w:lang w:val="en-GB"/>
              </w:rPr>
            </w:pPr>
            <w:r w:rsidRPr="001B7DC8">
              <w:rPr>
                <w:sz w:val="18"/>
                <w:szCs w:val="18"/>
                <w:lang w:val="en-GB"/>
              </w:rPr>
              <w:t>0.08626</w:t>
            </w:r>
          </w:p>
        </w:tc>
        <w:tc>
          <w:tcPr>
            <w:tcW w:w="960" w:type="dxa"/>
          </w:tcPr>
          <w:p w14:paraId="0D08D9D8" w14:textId="77777777" w:rsidR="001B7DC8" w:rsidRPr="001B7DC8" w:rsidRDefault="001B7DC8" w:rsidP="009C49B1">
            <w:pPr>
              <w:rPr>
                <w:sz w:val="18"/>
                <w:szCs w:val="18"/>
                <w:lang w:val="en-GB"/>
              </w:rPr>
            </w:pPr>
            <w:r w:rsidRPr="001B7DC8">
              <w:rPr>
                <w:sz w:val="18"/>
                <w:szCs w:val="18"/>
                <w:lang w:val="en-GB"/>
              </w:rPr>
              <w:t>0.27</w:t>
            </w:r>
          </w:p>
        </w:tc>
      </w:tr>
      <w:tr w:rsidR="001B7DC8" w:rsidRPr="001B7DC8" w14:paraId="78428E04" w14:textId="77777777" w:rsidTr="009C49B1">
        <w:trPr>
          <w:jc w:val="center"/>
        </w:trPr>
        <w:tc>
          <w:tcPr>
            <w:tcW w:w="960" w:type="dxa"/>
          </w:tcPr>
          <w:p w14:paraId="561B2523" w14:textId="77777777" w:rsidR="001B7DC8" w:rsidRPr="001B7DC8" w:rsidRDefault="001B7DC8" w:rsidP="009C49B1">
            <w:pPr>
              <w:rPr>
                <w:sz w:val="18"/>
                <w:szCs w:val="18"/>
                <w:lang w:val="en-GB"/>
              </w:rPr>
            </w:pPr>
            <w:r w:rsidRPr="001B7DC8">
              <w:rPr>
                <w:sz w:val="18"/>
                <w:szCs w:val="18"/>
                <w:lang w:val="en-GB"/>
              </w:rPr>
              <w:t>RE</w:t>
            </w:r>
          </w:p>
        </w:tc>
        <w:tc>
          <w:tcPr>
            <w:tcW w:w="960" w:type="dxa"/>
          </w:tcPr>
          <w:p w14:paraId="6A6C9431" w14:textId="77777777" w:rsidR="001B7DC8" w:rsidRPr="001B7DC8" w:rsidRDefault="001B7DC8" w:rsidP="009C49B1">
            <w:pPr>
              <w:rPr>
                <w:sz w:val="18"/>
                <w:szCs w:val="18"/>
                <w:lang w:val="en-GB"/>
              </w:rPr>
            </w:pPr>
            <w:r w:rsidRPr="001B7DC8">
              <w:rPr>
                <w:sz w:val="18"/>
                <w:szCs w:val="18"/>
                <w:lang w:val="en-GB"/>
              </w:rPr>
              <w:t>26.9 (37.7)</w:t>
            </w:r>
          </w:p>
        </w:tc>
        <w:tc>
          <w:tcPr>
            <w:tcW w:w="960" w:type="dxa"/>
          </w:tcPr>
          <w:p w14:paraId="627E0BE4" w14:textId="77777777" w:rsidR="001B7DC8" w:rsidRPr="001B7DC8" w:rsidRDefault="001B7DC8" w:rsidP="009C49B1">
            <w:pPr>
              <w:rPr>
                <w:sz w:val="18"/>
                <w:szCs w:val="18"/>
                <w:lang w:val="en-GB"/>
              </w:rPr>
            </w:pPr>
            <w:r w:rsidRPr="001B7DC8">
              <w:rPr>
                <w:sz w:val="18"/>
                <w:szCs w:val="18"/>
                <w:lang w:val="en-GB"/>
              </w:rPr>
              <w:t>108</w:t>
            </w:r>
          </w:p>
        </w:tc>
        <w:tc>
          <w:tcPr>
            <w:tcW w:w="960" w:type="dxa"/>
          </w:tcPr>
          <w:p w14:paraId="189B1FD8" w14:textId="77777777" w:rsidR="001B7DC8" w:rsidRPr="001B7DC8" w:rsidRDefault="001B7DC8" w:rsidP="009C49B1">
            <w:pPr>
              <w:rPr>
                <w:sz w:val="18"/>
                <w:szCs w:val="18"/>
                <w:lang w:val="en-GB"/>
              </w:rPr>
            </w:pPr>
            <w:r w:rsidRPr="001B7DC8">
              <w:rPr>
                <w:sz w:val="18"/>
                <w:szCs w:val="18"/>
                <w:lang w:val="en-GB"/>
              </w:rPr>
              <w:t>51.9 (43.0)</w:t>
            </w:r>
          </w:p>
        </w:tc>
        <w:tc>
          <w:tcPr>
            <w:tcW w:w="960" w:type="dxa"/>
          </w:tcPr>
          <w:p w14:paraId="1221582B" w14:textId="77777777" w:rsidR="001B7DC8" w:rsidRPr="001B7DC8" w:rsidRDefault="001B7DC8" w:rsidP="009C49B1">
            <w:pPr>
              <w:rPr>
                <w:sz w:val="18"/>
                <w:szCs w:val="18"/>
                <w:lang w:val="en-GB"/>
              </w:rPr>
            </w:pPr>
            <w:r w:rsidRPr="001B7DC8">
              <w:rPr>
                <w:sz w:val="18"/>
                <w:szCs w:val="18"/>
                <w:lang w:val="en-GB"/>
              </w:rPr>
              <w:t>78</w:t>
            </w:r>
          </w:p>
        </w:tc>
        <w:tc>
          <w:tcPr>
            <w:tcW w:w="960" w:type="dxa"/>
          </w:tcPr>
          <w:p w14:paraId="24403407" w14:textId="77777777" w:rsidR="001B7DC8" w:rsidRPr="001B7DC8" w:rsidRDefault="001B7DC8" w:rsidP="009C49B1">
            <w:pPr>
              <w:rPr>
                <w:sz w:val="18"/>
                <w:szCs w:val="18"/>
                <w:lang w:val="en-GB"/>
              </w:rPr>
            </w:pPr>
            <w:r w:rsidRPr="001B7DC8">
              <w:rPr>
                <w:sz w:val="18"/>
                <w:szCs w:val="18"/>
                <w:lang w:val="en-GB"/>
              </w:rPr>
              <w:t>25.1</w:t>
            </w:r>
          </w:p>
        </w:tc>
        <w:tc>
          <w:tcPr>
            <w:tcW w:w="960" w:type="dxa"/>
          </w:tcPr>
          <w:p w14:paraId="4E18B22E" w14:textId="77777777" w:rsidR="001B7DC8" w:rsidRPr="001B7DC8" w:rsidRDefault="001B7DC8" w:rsidP="009C49B1">
            <w:pPr>
              <w:rPr>
                <w:sz w:val="18"/>
                <w:szCs w:val="18"/>
                <w:lang w:val="en-GB"/>
              </w:rPr>
            </w:pPr>
            <w:r w:rsidRPr="001B7DC8">
              <w:rPr>
                <w:sz w:val="18"/>
                <w:szCs w:val="18"/>
                <w:lang w:val="en-GB"/>
              </w:rPr>
              <w:t>13.1 to 37.1</w:t>
            </w:r>
          </w:p>
        </w:tc>
        <w:tc>
          <w:tcPr>
            <w:tcW w:w="960" w:type="dxa"/>
          </w:tcPr>
          <w:p w14:paraId="24786D0C" w14:textId="77777777" w:rsidR="001B7DC8" w:rsidRPr="001B7DC8" w:rsidRDefault="001B7DC8" w:rsidP="009C49B1">
            <w:pPr>
              <w:rPr>
                <w:sz w:val="18"/>
                <w:szCs w:val="18"/>
                <w:lang w:val="en-GB"/>
              </w:rPr>
            </w:pPr>
            <w:r w:rsidRPr="001B7DC8">
              <w:rPr>
                <w:sz w:val="18"/>
                <w:szCs w:val="18"/>
                <w:lang w:val="en-GB"/>
              </w:rPr>
              <w:t>5.946e-05</w:t>
            </w:r>
          </w:p>
        </w:tc>
        <w:tc>
          <w:tcPr>
            <w:tcW w:w="960" w:type="dxa"/>
          </w:tcPr>
          <w:p w14:paraId="3AFC3323" w14:textId="77777777" w:rsidR="001B7DC8" w:rsidRPr="001B7DC8" w:rsidRDefault="001B7DC8" w:rsidP="009C49B1">
            <w:pPr>
              <w:rPr>
                <w:sz w:val="18"/>
                <w:szCs w:val="18"/>
                <w:lang w:val="en-GB"/>
              </w:rPr>
            </w:pPr>
            <w:r w:rsidRPr="001B7DC8">
              <w:rPr>
                <w:sz w:val="18"/>
                <w:szCs w:val="18"/>
                <w:lang w:val="en-GB"/>
              </w:rPr>
              <w:t>0.62</w:t>
            </w:r>
          </w:p>
        </w:tc>
      </w:tr>
      <w:tr w:rsidR="001B7DC8" w:rsidRPr="001B7DC8" w14:paraId="5A177AD8" w14:textId="77777777" w:rsidTr="009C49B1">
        <w:trPr>
          <w:jc w:val="center"/>
        </w:trPr>
        <w:tc>
          <w:tcPr>
            <w:tcW w:w="960" w:type="dxa"/>
          </w:tcPr>
          <w:p w14:paraId="2C4F3A86" w14:textId="77777777" w:rsidR="001B7DC8" w:rsidRPr="001B7DC8" w:rsidRDefault="001B7DC8" w:rsidP="009C49B1">
            <w:pPr>
              <w:rPr>
                <w:sz w:val="18"/>
                <w:szCs w:val="18"/>
                <w:lang w:val="en-GB"/>
              </w:rPr>
            </w:pPr>
            <w:r w:rsidRPr="001B7DC8">
              <w:rPr>
                <w:sz w:val="18"/>
                <w:szCs w:val="18"/>
                <w:lang w:val="en-GB"/>
              </w:rPr>
              <w:t>MH</w:t>
            </w:r>
          </w:p>
        </w:tc>
        <w:tc>
          <w:tcPr>
            <w:tcW w:w="960" w:type="dxa"/>
          </w:tcPr>
          <w:p w14:paraId="7684DEF3" w14:textId="77777777" w:rsidR="001B7DC8" w:rsidRPr="001B7DC8" w:rsidRDefault="001B7DC8" w:rsidP="009C49B1">
            <w:pPr>
              <w:rPr>
                <w:sz w:val="18"/>
                <w:szCs w:val="18"/>
                <w:lang w:val="en-GB"/>
              </w:rPr>
            </w:pPr>
            <w:r w:rsidRPr="001B7DC8">
              <w:rPr>
                <w:sz w:val="18"/>
                <w:szCs w:val="18"/>
                <w:lang w:val="en-GB"/>
              </w:rPr>
              <w:t>47.6 (18.1)</w:t>
            </w:r>
          </w:p>
        </w:tc>
        <w:tc>
          <w:tcPr>
            <w:tcW w:w="960" w:type="dxa"/>
          </w:tcPr>
          <w:p w14:paraId="6269F9ED" w14:textId="77777777" w:rsidR="001B7DC8" w:rsidRPr="001B7DC8" w:rsidRDefault="001B7DC8" w:rsidP="009C49B1">
            <w:pPr>
              <w:rPr>
                <w:sz w:val="18"/>
                <w:szCs w:val="18"/>
                <w:lang w:val="en-GB"/>
              </w:rPr>
            </w:pPr>
            <w:r w:rsidRPr="001B7DC8">
              <w:rPr>
                <w:sz w:val="18"/>
                <w:szCs w:val="18"/>
                <w:lang w:val="en-GB"/>
              </w:rPr>
              <w:t>104</w:t>
            </w:r>
          </w:p>
        </w:tc>
        <w:tc>
          <w:tcPr>
            <w:tcW w:w="960" w:type="dxa"/>
          </w:tcPr>
          <w:p w14:paraId="16A5D749" w14:textId="77777777" w:rsidR="001B7DC8" w:rsidRPr="001B7DC8" w:rsidRDefault="001B7DC8" w:rsidP="009C49B1">
            <w:pPr>
              <w:rPr>
                <w:sz w:val="18"/>
                <w:szCs w:val="18"/>
                <w:lang w:val="en-GB"/>
              </w:rPr>
            </w:pPr>
            <w:r w:rsidRPr="001B7DC8">
              <w:rPr>
                <w:sz w:val="18"/>
                <w:szCs w:val="18"/>
                <w:lang w:val="en-GB"/>
              </w:rPr>
              <w:t>61.5 (21.2)</w:t>
            </w:r>
          </w:p>
        </w:tc>
        <w:tc>
          <w:tcPr>
            <w:tcW w:w="960" w:type="dxa"/>
          </w:tcPr>
          <w:p w14:paraId="7340CB5B" w14:textId="77777777" w:rsidR="001B7DC8" w:rsidRPr="001B7DC8" w:rsidRDefault="001B7DC8" w:rsidP="009C49B1">
            <w:pPr>
              <w:rPr>
                <w:sz w:val="18"/>
                <w:szCs w:val="18"/>
                <w:lang w:val="en-GB"/>
              </w:rPr>
            </w:pPr>
            <w:r w:rsidRPr="001B7DC8">
              <w:rPr>
                <w:sz w:val="18"/>
                <w:szCs w:val="18"/>
                <w:lang w:val="en-GB"/>
              </w:rPr>
              <w:t>74</w:t>
            </w:r>
          </w:p>
        </w:tc>
        <w:tc>
          <w:tcPr>
            <w:tcW w:w="960" w:type="dxa"/>
          </w:tcPr>
          <w:p w14:paraId="17C658F9" w14:textId="77777777" w:rsidR="001B7DC8" w:rsidRPr="001B7DC8" w:rsidRDefault="001B7DC8" w:rsidP="009C49B1">
            <w:pPr>
              <w:rPr>
                <w:sz w:val="18"/>
                <w:szCs w:val="18"/>
                <w:lang w:val="en-GB"/>
              </w:rPr>
            </w:pPr>
            <w:r w:rsidRPr="001B7DC8">
              <w:rPr>
                <w:sz w:val="18"/>
                <w:szCs w:val="18"/>
                <w:lang w:val="en-GB"/>
              </w:rPr>
              <w:t>13.9</w:t>
            </w:r>
          </w:p>
        </w:tc>
        <w:tc>
          <w:tcPr>
            <w:tcW w:w="960" w:type="dxa"/>
          </w:tcPr>
          <w:p w14:paraId="2F500620" w14:textId="77777777" w:rsidR="001B7DC8" w:rsidRPr="001B7DC8" w:rsidRDefault="001B7DC8" w:rsidP="009C49B1">
            <w:pPr>
              <w:rPr>
                <w:sz w:val="18"/>
                <w:szCs w:val="18"/>
                <w:lang w:val="en-GB"/>
              </w:rPr>
            </w:pPr>
            <w:r w:rsidRPr="001B7DC8">
              <w:rPr>
                <w:sz w:val="18"/>
                <w:szCs w:val="18"/>
                <w:lang w:val="en-GB"/>
              </w:rPr>
              <w:t>7.9 to 19.9</w:t>
            </w:r>
          </w:p>
        </w:tc>
        <w:tc>
          <w:tcPr>
            <w:tcW w:w="960" w:type="dxa"/>
          </w:tcPr>
          <w:p w14:paraId="2C07BFE9" w14:textId="77777777" w:rsidR="001B7DC8" w:rsidRPr="001B7DC8" w:rsidRDefault="001B7DC8" w:rsidP="009C49B1">
            <w:pPr>
              <w:rPr>
                <w:sz w:val="18"/>
                <w:szCs w:val="18"/>
                <w:lang w:val="en-GB"/>
              </w:rPr>
            </w:pPr>
            <w:r w:rsidRPr="001B7DC8">
              <w:rPr>
                <w:sz w:val="18"/>
                <w:szCs w:val="18"/>
                <w:lang w:val="en-GB"/>
              </w:rPr>
              <w:t>1.079e-05</w:t>
            </w:r>
          </w:p>
        </w:tc>
        <w:tc>
          <w:tcPr>
            <w:tcW w:w="960" w:type="dxa"/>
          </w:tcPr>
          <w:p w14:paraId="405A0FA8" w14:textId="77777777" w:rsidR="001B7DC8" w:rsidRPr="001B7DC8" w:rsidRDefault="001B7DC8" w:rsidP="009C49B1">
            <w:pPr>
              <w:rPr>
                <w:sz w:val="18"/>
                <w:szCs w:val="18"/>
                <w:lang w:val="en-GB"/>
              </w:rPr>
            </w:pPr>
            <w:r w:rsidRPr="001B7DC8">
              <w:rPr>
                <w:sz w:val="18"/>
                <w:szCs w:val="18"/>
                <w:lang w:val="en-GB"/>
              </w:rPr>
              <w:t>0.71</w:t>
            </w:r>
          </w:p>
        </w:tc>
      </w:tr>
      <w:tr w:rsidR="001B7DC8" w:rsidRPr="001B7DC8" w14:paraId="0C8AD179" w14:textId="77777777" w:rsidTr="009C49B1">
        <w:trPr>
          <w:jc w:val="center"/>
        </w:trPr>
        <w:tc>
          <w:tcPr>
            <w:tcW w:w="960" w:type="dxa"/>
          </w:tcPr>
          <w:p w14:paraId="51D09000" w14:textId="77777777" w:rsidR="001B7DC8" w:rsidRPr="001B7DC8" w:rsidRDefault="001B7DC8" w:rsidP="009C49B1">
            <w:pPr>
              <w:rPr>
                <w:sz w:val="18"/>
                <w:szCs w:val="18"/>
                <w:lang w:val="en-GB"/>
              </w:rPr>
            </w:pPr>
            <w:r w:rsidRPr="001B7DC8">
              <w:rPr>
                <w:sz w:val="18"/>
                <w:szCs w:val="18"/>
                <w:lang w:val="en-GB"/>
              </w:rPr>
              <w:t>PCS</w:t>
            </w:r>
          </w:p>
        </w:tc>
        <w:tc>
          <w:tcPr>
            <w:tcW w:w="960" w:type="dxa"/>
          </w:tcPr>
          <w:p w14:paraId="4931408B" w14:textId="77777777" w:rsidR="001B7DC8" w:rsidRPr="001B7DC8" w:rsidRDefault="001B7DC8" w:rsidP="009C49B1">
            <w:pPr>
              <w:rPr>
                <w:sz w:val="18"/>
                <w:szCs w:val="18"/>
                <w:lang w:val="en-GB"/>
              </w:rPr>
            </w:pPr>
            <w:r w:rsidRPr="001B7DC8">
              <w:rPr>
                <w:sz w:val="18"/>
                <w:szCs w:val="18"/>
                <w:lang w:val="en-GB"/>
              </w:rPr>
              <w:t>44.0 (25.5)</w:t>
            </w:r>
          </w:p>
        </w:tc>
        <w:tc>
          <w:tcPr>
            <w:tcW w:w="960" w:type="dxa"/>
          </w:tcPr>
          <w:p w14:paraId="0185E799" w14:textId="77777777" w:rsidR="001B7DC8" w:rsidRPr="001B7DC8" w:rsidRDefault="001B7DC8" w:rsidP="009C49B1">
            <w:pPr>
              <w:rPr>
                <w:sz w:val="18"/>
                <w:szCs w:val="18"/>
                <w:lang w:val="en-GB"/>
              </w:rPr>
            </w:pPr>
            <w:r w:rsidRPr="001B7DC8">
              <w:rPr>
                <w:sz w:val="18"/>
                <w:szCs w:val="18"/>
                <w:lang w:val="en-GB"/>
              </w:rPr>
              <w:t>111</w:t>
            </w:r>
          </w:p>
        </w:tc>
        <w:tc>
          <w:tcPr>
            <w:tcW w:w="960" w:type="dxa"/>
          </w:tcPr>
          <w:p w14:paraId="0912768F" w14:textId="77777777" w:rsidR="001B7DC8" w:rsidRPr="001B7DC8" w:rsidRDefault="001B7DC8" w:rsidP="009C49B1">
            <w:pPr>
              <w:rPr>
                <w:sz w:val="18"/>
                <w:szCs w:val="18"/>
                <w:lang w:val="en-GB"/>
              </w:rPr>
            </w:pPr>
            <w:r w:rsidRPr="001B7DC8">
              <w:rPr>
                <w:sz w:val="18"/>
                <w:szCs w:val="18"/>
                <w:lang w:val="en-GB"/>
              </w:rPr>
              <w:t>59.1 (26.4)</w:t>
            </w:r>
          </w:p>
        </w:tc>
        <w:tc>
          <w:tcPr>
            <w:tcW w:w="960" w:type="dxa"/>
          </w:tcPr>
          <w:p w14:paraId="245AF23E" w14:textId="77777777" w:rsidR="001B7DC8" w:rsidRPr="001B7DC8" w:rsidRDefault="001B7DC8" w:rsidP="009C49B1">
            <w:pPr>
              <w:rPr>
                <w:sz w:val="18"/>
                <w:szCs w:val="18"/>
                <w:lang w:val="en-GB"/>
              </w:rPr>
            </w:pPr>
            <w:r w:rsidRPr="001B7DC8">
              <w:rPr>
                <w:sz w:val="18"/>
                <w:szCs w:val="18"/>
                <w:lang w:val="en-GB"/>
              </w:rPr>
              <w:t>81</w:t>
            </w:r>
          </w:p>
        </w:tc>
        <w:tc>
          <w:tcPr>
            <w:tcW w:w="960" w:type="dxa"/>
          </w:tcPr>
          <w:p w14:paraId="500BEC88" w14:textId="77777777" w:rsidR="001B7DC8" w:rsidRPr="001B7DC8" w:rsidRDefault="001B7DC8" w:rsidP="009C49B1">
            <w:pPr>
              <w:rPr>
                <w:sz w:val="18"/>
                <w:szCs w:val="18"/>
                <w:lang w:val="en-GB"/>
              </w:rPr>
            </w:pPr>
            <w:r w:rsidRPr="001B7DC8">
              <w:rPr>
                <w:sz w:val="18"/>
                <w:szCs w:val="18"/>
                <w:lang w:val="en-GB"/>
              </w:rPr>
              <w:t>15.2</w:t>
            </w:r>
          </w:p>
        </w:tc>
        <w:tc>
          <w:tcPr>
            <w:tcW w:w="960" w:type="dxa"/>
          </w:tcPr>
          <w:p w14:paraId="747E01D8" w14:textId="77777777" w:rsidR="001B7DC8" w:rsidRPr="001B7DC8" w:rsidRDefault="001B7DC8" w:rsidP="009C49B1">
            <w:pPr>
              <w:rPr>
                <w:sz w:val="18"/>
                <w:szCs w:val="18"/>
                <w:lang w:val="en-GB"/>
              </w:rPr>
            </w:pPr>
            <w:r w:rsidRPr="001B7DC8">
              <w:rPr>
                <w:sz w:val="18"/>
                <w:szCs w:val="18"/>
                <w:lang w:val="en-GB"/>
              </w:rPr>
              <w:t>7.7 to 22.7</w:t>
            </w:r>
          </w:p>
        </w:tc>
        <w:tc>
          <w:tcPr>
            <w:tcW w:w="960" w:type="dxa"/>
          </w:tcPr>
          <w:p w14:paraId="2119BB4C" w14:textId="77777777" w:rsidR="001B7DC8" w:rsidRPr="001B7DC8" w:rsidRDefault="001B7DC8" w:rsidP="009C49B1">
            <w:pPr>
              <w:rPr>
                <w:sz w:val="18"/>
                <w:szCs w:val="18"/>
                <w:lang w:val="en-GB"/>
              </w:rPr>
            </w:pPr>
            <w:r w:rsidRPr="001B7DC8">
              <w:rPr>
                <w:sz w:val="18"/>
                <w:szCs w:val="18"/>
                <w:lang w:val="en-GB"/>
              </w:rPr>
              <w:t>9.831e-05</w:t>
            </w:r>
          </w:p>
        </w:tc>
        <w:tc>
          <w:tcPr>
            <w:tcW w:w="960" w:type="dxa"/>
          </w:tcPr>
          <w:p w14:paraId="733327CD" w14:textId="77777777" w:rsidR="001B7DC8" w:rsidRPr="001B7DC8" w:rsidRDefault="001B7DC8" w:rsidP="009C49B1">
            <w:pPr>
              <w:rPr>
                <w:sz w:val="18"/>
                <w:szCs w:val="18"/>
                <w:lang w:val="en-GB"/>
              </w:rPr>
            </w:pPr>
            <w:r w:rsidRPr="001B7DC8">
              <w:rPr>
                <w:sz w:val="18"/>
                <w:szCs w:val="18"/>
                <w:lang w:val="en-GB"/>
              </w:rPr>
              <w:t>0.58</w:t>
            </w:r>
          </w:p>
        </w:tc>
      </w:tr>
      <w:tr w:rsidR="001B7DC8" w:rsidRPr="001B7DC8" w14:paraId="059F8EE0" w14:textId="77777777" w:rsidTr="009C49B1">
        <w:trPr>
          <w:jc w:val="center"/>
        </w:trPr>
        <w:tc>
          <w:tcPr>
            <w:tcW w:w="960" w:type="dxa"/>
          </w:tcPr>
          <w:p w14:paraId="4492B4F2" w14:textId="77777777" w:rsidR="001B7DC8" w:rsidRPr="001B7DC8" w:rsidRDefault="001B7DC8" w:rsidP="009C49B1">
            <w:pPr>
              <w:rPr>
                <w:sz w:val="18"/>
                <w:szCs w:val="18"/>
                <w:lang w:val="en-GB"/>
              </w:rPr>
            </w:pPr>
            <w:r w:rsidRPr="001B7DC8">
              <w:rPr>
                <w:sz w:val="18"/>
                <w:szCs w:val="18"/>
                <w:lang w:val="en-GB"/>
              </w:rPr>
              <w:t>MCS</w:t>
            </w:r>
          </w:p>
        </w:tc>
        <w:tc>
          <w:tcPr>
            <w:tcW w:w="960" w:type="dxa"/>
          </w:tcPr>
          <w:p w14:paraId="4B348546" w14:textId="77777777" w:rsidR="001B7DC8" w:rsidRPr="001B7DC8" w:rsidRDefault="001B7DC8" w:rsidP="009C49B1">
            <w:pPr>
              <w:rPr>
                <w:sz w:val="18"/>
                <w:szCs w:val="18"/>
                <w:lang w:val="en-GB"/>
              </w:rPr>
            </w:pPr>
            <w:r w:rsidRPr="001B7DC8">
              <w:rPr>
                <w:sz w:val="18"/>
                <w:szCs w:val="18"/>
                <w:lang w:val="en-GB"/>
              </w:rPr>
              <w:t>37.8 (21.2)</w:t>
            </w:r>
          </w:p>
        </w:tc>
        <w:tc>
          <w:tcPr>
            <w:tcW w:w="960" w:type="dxa"/>
          </w:tcPr>
          <w:p w14:paraId="38E9B4B5" w14:textId="77777777" w:rsidR="001B7DC8" w:rsidRPr="001B7DC8" w:rsidRDefault="001B7DC8" w:rsidP="009C49B1">
            <w:pPr>
              <w:rPr>
                <w:sz w:val="18"/>
                <w:szCs w:val="18"/>
                <w:lang w:val="en-GB"/>
              </w:rPr>
            </w:pPr>
            <w:r w:rsidRPr="001B7DC8">
              <w:rPr>
                <w:sz w:val="18"/>
                <w:szCs w:val="18"/>
                <w:lang w:val="en-GB"/>
              </w:rPr>
              <w:t>108</w:t>
            </w:r>
          </w:p>
        </w:tc>
        <w:tc>
          <w:tcPr>
            <w:tcW w:w="960" w:type="dxa"/>
          </w:tcPr>
          <w:p w14:paraId="78C65B44" w14:textId="77777777" w:rsidR="001B7DC8" w:rsidRPr="001B7DC8" w:rsidRDefault="001B7DC8" w:rsidP="009C49B1">
            <w:pPr>
              <w:rPr>
                <w:sz w:val="18"/>
                <w:szCs w:val="18"/>
                <w:lang w:val="en-GB"/>
              </w:rPr>
            </w:pPr>
            <w:r w:rsidRPr="001B7DC8">
              <w:rPr>
                <w:sz w:val="18"/>
                <w:szCs w:val="18"/>
                <w:lang w:val="en-GB"/>
              </w:rPr>
              <w:t>53.1 (23.8)</w:t>
            </w:r>
          </w:p>
        </w:tc>
        <w:tc>
          <w:tcPr>
            <w:tcW w:w="960" w:type="dxa"/>
          </w:tcPr>
          <w:p w14:paraId="6CA845E6" w14:textId="77777777" w:rsidR="001B7DC8" w:rsidRPr="001B7DC8" w:rsidRDefault="001B7DC8" w:rsidP="009C49B1">
            <w:pPr>
              <w:rPr>
                <w:sz w:val="18"/>
                <w:szCs w:val="18"/>
                <w:lang w:val="en-GB"/>
              </w:rPr>
            </w:pPr>
            <w:r w:rsidRPr="001B7DC8">
              <w:rPr>
                <w:sz w:val="18"/>
                <w:szCs w:val="18"/>
                <w:lang w:val="en-GB"/>
              </w:rPr>
              <w:t>78</w:t>
            </w:r>
          </w:p>
        </w:tc>
        <w:tc>
          <w:tcPr>
            <w:tcW w:w="960" w:type="dxa"/>
          </w:tcPr>
          <w:p w14:paraId="0E8E6EAF" w14:textId="77777777" w:rsidR="001B7DC8" w:rsidRPr="001B7DC8" w:rsidRDefault="001B7DC8" w:rsidP="009C49B1">
            <w:pPr>
              <w:rPr>
                <w:sz w:val="18"/>
                <w:szCs w:val="18"/>
                <w:lang w:val="en-GB"/>
              </w:rPr>
            </w:pPr>
            <w:r w:rsidRPr="001B7DC8">
              <w:rPr>
                <w:sz w:val="18"/>
                <w:szCs w:val="18"/>
                <w:lang w:val="en-GB"/>
              </w:rPr>
              <w:t>15.3</w:t>
            </w:r>
          </w:p>
        </w:tc>
        <w:tc>
          <w:tcPr>
            <w:tcW w:w="960" w:type="dxa"/>
          </w:tcPr>
          <w:p w14:paraId="0938F93B" w14:textId="77777777" w:rsidR="001B7DC8" w:rsidRPr="001B7DC8" w:rsidRDefault="001B7DC8" w:rsidP="009C49B1">
            <w:pPr>
              <w:rPr>
                <w:sz w:val="18"/>
                <w:szCs w:val="18"/>
                <w:lang w:val="en-GB"/>
              </w:rPr>
            </w:pPr>
            <w:r w:rsidRPr="001B7DC8">
              <w:rPr>
                <w:sz w:val="18"/>
                <w:szCs w:val="18"/>
                <w:lang w:val="en-GB"/>
              </w:rPr>
              <w:t>8.6 to 22.0</w:t>
            </w:r>
          </w:p>
        </w:tc>
        <w:tc>
          <w:tcPr>
            <w:tcW w:w="960" w:type="dxa"/>
          </w:tcPr>
          <w:p w14:paraId="69BE151D" w14:textId="77777777" w:rsidR="001B7DC8" w:rsidRPr="001B7DC8" w:rsidRDefault="001B7DC8" w:rsidP="009C49B1">
            <w:pPr>
              <w:rPr>
                <w:sz w:val="18"/>
                <w:szCs w:val="18"/>
                <w:lang w:val="en-GB"/>
              </w:rPr>
            </w:pPr>
            <w:r w:rsidRPr="001B7DC8">
              <w:rPr>
                <w:sz w:val="18"/>
                <w:szCs w:val="18"/>
                <w:lang w:val="en-GB"/>
              </w:rPr>
              <w:t>1.15e-05</w:t>
            </w:r>
          </w:p>
        </w:tc>
        <w:tc>
          <w:tcPr>
            <w:tcW w:w="960" w:type="dxa"/>
          </w:tcPr>
          <w:p w14:paraId="3C3CDAB8" w14:textId="77777777" w:rsidR="001B7DC8" w:rsidRPr="001B7DC8" w:rsidRDefault="001B7DC8" w:rsidP="009C49B1">
            <w:pPr>
              <w:rPr>
                <w:sz w:val="18"/>
                <w:szCs w:val="18"/>
                <w:lang w:val="en-GB"/>
              </w:rPr>
            </w:pPr>
            <w:r w:rsidRPr="001B7DC8">
              <w:rPr>
                <w:sz w:val="18"/>
                <w:szCs w:val="18"/>
                <w:lang w:val="en-GB"/>
              </w:rPr>
              <w:t>0.68</w:t>
            </w:r>
          </w:p>
        </w:tc>
      </w:tr>
    </w:tbl>
    <w:p w14:paraId="5538EC88" w14:textId="77777777" w:rsidR="001B7DC8" w:rsidRPr="001B7DC8" w:rsidRDefault="001B7DC8" w:rsidP="001B7DC8">
      <w:pPr>
        <w:rPr>
          <w:sz w:val="18"/>
          <w:szCs w:val="18"/>
          <w:lang w:val="en-GB"/>
        </w:rPr>
      </w:pPr>
      <w:r w:rsidRPr="001B7DC8">
        <w:rPr>
          <w:i/>
          <w:sz w:val="18"/>
          <w:szCs w:val="18"/>
          <w:lang w:val="en-GB"/>
        </w:rPr>
        <w:t>Note: RAND-12 items were administered using the Norwegian RAND-12 translation distributed by the Norwegian Institute of Public Health (FHI). For readability, tables report the corresponding official English RAND-12 item wording.</w:t>
      </w:r>
    </w:p>
    <w:p w14:paraId="03D7105A" w14:textId="77777777" w:rsidR="001B7DC8" w:rsidRPr="001B7DC8" w:rsidRDefault="001B7DC8" w:rsidP="001B7DC8">
      <w:pPr>
        <w:rPr>
          <w:lang w:val="en-GB"/>
        </w:rPr>
      </w:pPr>
    </w:p>
    <w:p w14:paraId="6C9AF23B" w14:textId="77777777" w:rsidR="001B7DC8" w:rsidRPr="001B7DC8" w:rsidRDefault="001B7DC8" w:rsidP="001B7DC8">
      <w:pPr>
        <w:rPr>
          <w:lang w:val="en-GB"/>
        </w:rPr>
      </w:pPr>
      <w:r w:rsidRPr="001B7DC8">
        <w:rPr>
          <w:b/>
          <w:lang w:val="en-GB"/>
        </w:rPr>
        <w:t>Table 4. Lipedema-specific symptoms (0–4; higher=worse)</w:t>
      </w:r>
    </w:p>
    <w:tbl>
      <w:tblPr>
        <w:tblStyle w:val="TableGrid"/>
        <w:tblW w:w="0" w:type="auto"/>
        <w:jc w:val="center"/>
        <w:tblLook w:val="04A0" w:firstRow="1" w:lastRow="0" w:firstColumn="1" w:lastColumn="0" w:noHBand="0" w:noVBand="1"/>
      </w:tblPr>
      <w:tblGrid>
        <w:gridCol w:w="1440"/>
        <w:gridCol w:w="1440"/>
        <w:gridCol w:w="1440"/>
        <w:gridCol w:w="1440"/>
        <w:gridCol w:w="1440"/>
        <w:gridCol w:w="1440"/>
      </w:tblGrid>
      <w:tr w:rsidR="001B7DC8" w:rsidRPr="001B7DC8" w14:paraId="30512165" w14:textId="77777777" w:rsidTr="009C49B1">
        <w:trPr>
          <w:jc w:val="center"/>
        </w:trPr>
        <w:tc>
          <w:tcPr>
            <w:tcW w:w="1440" w:type="dxa"/>
          </w:tcPr>
          <w:p w14:paraId="0F4BC1B7" w14:textId="77777777" w:rsidR="001B7DC8" w:rsidRPr="001B7DC8" w:rsidRDefault="001B7DC8" w:rsidP="009C49B1">
            <w:pPr>
              <w:rPr>
                <w:sz w:val="18"/>
                <w:szCs w:val="18"/>
                <w:lang w:val="en-GB"/>
              </w:rPr>
            </w:pPr>
            <w:r w:rsidRPr="001B7DC8">
              <w:rPr>
                <w:b/>
                <w:sz w:val="18"/>
                <w:szCs w:val="18"/>
                <w:lang w:val="en-GB"/>
              </w:rPr>
              <w:t>Item (English translation)</w:t>
            </w:r>
          </w:p>
        </w:tc>
        <w:tc>
          <w:tcPr>
            <w:tcW w:w="1440" w:type="dxa"/>
          </w:tcPr>
          <w:p w14:paraId="68533BC1" w14:textId="77777777" w:rsidR="001B7DC8" w:rsidRPr="001B7DC8" w:rsidRDefault="001B7DC8" w:rsidP="009C49B1">
            <w:pPr>
              <w:rPr>
                <w:sz w:val="18"/>
                <w:szCs w:val="18"/>
                <w:lang w:val="en-GB"/>
              </w:rPr>
            </w:pPr>
            <w:r w:rsidRPr="001B7DC8">
              <w:rPr>
                <w:b/>
                <w:sz w:val="18"/>
                <w:szCs w:val="18"/>
                <w:lang w:val="en-GB"/>
              </w:rPr>
              <w:t>Consultation mean (SD)</w:t>
            </w:r>
          </w:p>
        </w:tc>
        <w:tc>
          <w:tcPr>
            <w:tcW w:w="1440" w:type="dxa"/>
          </w:tcPr>
          <w:p w14:paraId="5C2856BE" w14:textId="77777777" w:rsidR="001B7DC8" w:rsidRPr="001B7DC8" w:rsidRDefault="001B7DC8" w:rsidP="009C49B1">
            <w:pPr>
              <w:rPr>
                <w:sz w:val="18"/>
                <w:szCs w:val="18"/>
                <w:lang w:val="en-GB"/>
              </w:rPr>
            </w:pPr>
            <w:r w:rsidRPr="001B7DC8">
              <w:rPr>
                <w:b/>
                <w:sz w:val="18"/>
                <w:szCs w:val="18"/>
                <w:lang w:val="en-GB"/>
              </w:rPr>
              <w:t>n</w:t>
            </w:r>
          </w:p>
        </w:tc>
        <w:tc>
          <w:tcPr>
            <w:tcW w:w="1440" w:type="dxa"/>
          </w:tcPr>
          <w:p w14:paraId="1294ABFD" w14:textId="77777777" w:rsidR="001B7DC8" w:rsidRPr="001B7DC8" w:rsidRDefault="001B7DC8" w:rsidP="009C49B1">
            <w:pPr>
              <w:rPr>
                <w:sz w:val="18"/>
                <w:szCs w:val="18"/>
                <w:lang w:val="en-GB"/>
              </w:rPr>
            </w:pPr>
            <w:r w:rsidRPr="001B7DC8">
              <w:rPr>
                <w:b/>
                <w:sz w:val="18"/>
                <w:szCs w:val="18"/>
                <w:lang w:val="en-GB"/>
              </w:rPr>
              <w:t>Operated mean (SD)</w:t>
            </w:r>
          </w:p>
        </w:tc>
        <w:tc>
          <w:tcPr>
            <w:tcW w:w="1440" w:type="dxa"/>
          </w:tcPr>
          <w:p w14:paraId="6C96D123" w14:textId="77777777" w:rsidR="001B7DC8" w:rsidRPr="001B7DC8" w:rsidRDefault="001B7DC8" w:rsidP="009C49B1">
            <w:pPr>
              <w:rPr>
                <w:sz w:val="18"/>
                <w:szCs w:val="18"/>
                <w:lang w:val="en-GB"/>
              </w:rPr>
            </w:pPr>
            <w:r w:rsidRPr="001B7DC8">
              <w:rPr>
                <w:b/>
                <w:sz w:val="18"/>
                <w:szCs w:val="18"/>
                <w:lang w:val="en-GB"/>
              </w:rPr>
              <w:t>n</w:t>
            </w:r>
          </w:p>
        </w:tc>
        <w:tc>
          <w:tcPr>
            <w:tcW w:w="1440" w:type="dxa"/>
          </w:tcPr>
          <w:p w14:paraId="70E22FD0" w14:textId="77777777" w:rsidR="001B7DC8" w:rsidRPr="001B7DC8" w:rsidRDefault="001B7DC8" w:rsidP="009C49B1">
            <w:pPr>
              <w:rPr>
                <w:sz w:val="18"/>
                <w:szCs w:val="18"/>
                <w:lang w:val="en-GB"/>
              </w:rPr>
            </w:pPr>
            <w:r w:rsidRPr="001B7DC8">
              <w:rPr>
                <w:b/>
                <w:sz w:val="18"/>
                <w:szCs w:val="18"/>
                <w:lang w:val="en-GB"/>
              </w:rPr>
              <w:t>p (Mann–Whitney)</w:t>
            </w:r>
          </w:p>
        </w:tc>
      </w:tr>
      <w:tr w:rsidR="001B7DC8" w:rsidRPr="001B7DC8" w14:paraId="340CC5C8" w14:textId="77777777" w:rsidTr="009C49B1">
        <w:trPr>
          <w:jc w:val="center"/>
        </w:trPr>
        <w:tc>
          <w:tcPr>
            <w:tcW w:w="1440" w:type="dxa"/>
          </w:tcPr>
          <w:p w14:paraId="337AE9A6" w14:textId="77777777" w:rsidR="001B7DC8" w:rsidRPr="001B7DC8" w:rsidRDefault="001B7DC8" w:rsidP="009C49B1">
            <w:pPr>
              <w:rPr>
                <w:sz w:val="18"/>
                <w:szCs w:val="18"/>
                <w:lang w:val="en-GB"/>
              </w:rPr>
            </w:pPr>
            <w:r w:rsidRPr="001B7DC8">
              <w:rPr>
                <w:sz w:val="18"/>
                <w:szCs w:val="18"/>
                <w:lang w:val="en-GB"/>
              </w:rPr>
              <w:t xml:space="preserve">How often do you experience the following problems </w:t>
            </w:r>
            <w:r w:rsidRPr="001B7DC8">
              <w:rPr>
                <w:sz w:val="18"/>
                <w:szCs w:val="18"/>
                <w:lang w:val="en-GB"/>
              </w:rPr>
              <w:lastRenderedPageBreak/>
              <w:t>during a typical week? [Pain in legs or arms]</w:t>
            </w:r>
          </w:p>
        </w:tc>
        <w:tc>
          <w:tcPr>
            <w:tcW w:w="1440" w:type="dxa"/>
          </w:tcPr>
          <w:p w14:paraId="0D624380" w14:textId="77777777" w:rsidR="001B7DC8" w:rsidRPr="001B7DC8" w:rsidRDefault="001B7DC8" w:rsidP="009C49B1">
            <w:pPr>
              <w:rPr>
                <w:sz w:val="18"/>
                <w:szCs w:val="18"/>
                <w:lang w:val="en-GB"/>
              </w:rPr>
            </w:pPr>
            <w:r w:rsidRPr="001B7DC8">
              <w:rPr>
                <w:sz w:val="18"/>
                <w:szCs w:val="18"/>
                <w:lang w:val="en-GB"/>
              </w:rPr>
              <w:lastRenderedPageBreak/>
              <w:t>3.19 (0.87)</w:t>
            </w:r>
          </w:p>
        </w:tc>
        <w:tc>
          <w:tcPr>
            <w:tcW w:w="1440" w:type="dxa"/>
          </w:tcPr>
          <w:p w14:paraId="0DC42FD6" w14:textId="77777777" w:rsidR="001B7DC8" w:rsidRPr="001B7DC8" w:rsidRDefault="001B7DC8" w:rsidP="009C49B1">
            <w:pPr>
              <w:rPr>
                <w:sz w:val="18"/>
                <w:szCs w:val="18"/>
                <w:lang w:val="en-GB"/>
              </w:rPr>
            </w:pPr>
            <w:r w:rsidRPr="001B7DC8">
              <w:rPr>
                <w:sz w:val="18"/>
                <w:szCs w:val="18"/>
                <w:lang w:val="en-GB"/>
              </w:rPr>
              <w:t>111</w:t>
            </w:r>
          </w:p>
        </w:tc>
        <w:tc>
          <w:tcPr>
            <w:tcW w:w="1440" w:type="dxa"/>
          </w:tcPr>
          <w:p w14:paraId="3A6BF045" w14:textId="77777777" w:rsidR="001B7DC8" w:rsidRPr="001B7DC8" w:rsidRDefault="001B7DC8" w:rsidP="009C49B1">
            <w:pPr>
              <w:rPr>
                <w:sz w:val="18"/>
                <w:szCs w:val="18"/>
                <w:lang w:val="en-GB"/>
              </w:rPr>
            </w:pPr>
            <w:r w:rsidRPr="001B7DC8">
              <w:rPr>
                <w:sz w:val="18"/>
                <w:szCs w:val="18"/>
                <w:lang w:val="en-GB"/>
              </w:rPr>
              <w:t>2.57 (1.08)</w:t>
            </w:r>
          </w:p>
        </w:tc>
        <w:tc>
          <w:tcPr>
            <w:tcW w:w="1440" w:type="dxa"/>
          </w:tcPr>
          <w:p w14:paraId="59ED6480" w14:textId="77777777" w:rsidR="001B7DC8" w:rsidRPr="001B7DC8" w:rsidRDefault="001B7DC8" w:rsidP="009C49B1">
            <w:pPr>
              <w:rPr>
                <w:sz w:val="18"/>
                <w:szCs w:val="18"/>
                <w:lang w:val="en-GB"/>
              </w:rPr>
            </w:pPr>
            <w:r w:rsidRPr="001B7DC8">
              <w:rPr>
                <w:sz w:val="18"/>
                <w:szCs w:val="18"/>
                <w:lang w:val="en-GB"/>
              </w:rPr>
              <w:t>83</w:t>
            </w:r>
          </w:p>
        </w:tc>
        <w:tc>
          <w:tcPr>
            <w:tcW w:w="1440" w:type="dxa"/>
          </w:tcPr>
          <w:p w14:paraId="03356FC0" w14:textId="77777777" w:rsidR="001B7DC8" w:rsidRPr="001B7DC8" w:rsidRDefault="001B7DC8" w:rsidP="009C49B1">
            <w:pPr>
              <w:rPr>
                <w:sz w:val="18"/>
                <w:szCs w:val="18"/>
                <w:lang w:val="en-GB"/>
              </w:rPr>
            </w:pPr>
            <w:r w:rsidRPr="001B7DC8">
              <w:rPr>
                <w:sz w:val="18"/>
                <w:szCs w:val="18"/>
                <w:lang w:val="en-GB"/>
              </w:rPr>
              <w:t>3.105e-05</w:t>
            </w:r>
          </w:p>
        </w:tc>
      </w:tr>
      <w:tr w:rsidR="001B7DC8" w:rsidRPr="001B7DC8" w14:paraId="1460F90F" w14:textId="77777777" w:rsidTr="009C49B1">
        <w:trPr>
          <w:jc w:val="center"/>
        </w:trPr>
        <w:tc>
          <w:tcPr>
            <w:tcW w:w="1440" w:type="dxa"/>
          </w:tcPr>
          <w:p w14:paraId="690C69DD" w14:textId="77777777" w:rsidR="001B7DC8" w:rsidRPr="001B7DC8" w:rsidRDefault="001B7DC8" w:rsidP="009C49B1">
            <w:pPr>
              <w:rPr>
                <w:sz w:val="18"/>
                <w:szCs w:val="18"/>
                <w:lang w:val="en-GB"/>
              </w:rPr>
            </w:pPr>
            <w:r w:rsidRPr="001B7DC8">
              <w:rPr>
                <w:sz w:val="18"/>
                <w:szCs w:val="18"/>
                <w:lang w:val="en-GB"/>
              </w:rPr>
              <w:t>How often do you experience the following problems during a typical week? [Bruising]</w:t>
            </w:r>
          </w:p>
        </w:tc>
        <w:tc>
          <w:tcPr>
            <w:tcW w:w="1440" w:type="dxa"/>
          </w:tcPr>
          <w:p w14:paraId="1C463CD2" w14:textId="77777777" w:rsidR="001B7DC8" w:rsidRPr="001B7DC8" w:rsidRDefault="001B7DC8" w:rsidP="009C49B1">
            <w:pPr>
              <w:rPr>
                <w:sz w:val="18"/>
                <w:szCs w:val="18"/>
                <w:lang w:val="en-GB"/>
              </w:rPr>
            </w:pPr>
            <w:r w:rsidRPr="001B7DC8">
              <w:rPr>
                <w:sz w:val="18"/>
                <w:szCs w:val="18"/>
                <w:lang w:val="en-GB"/>
              </w:rPr>
              <w:t>2.92 (0.83)</w:t>
            </w:r>
          </w:p>
        </w:tc>
        <w:tc>
          <w:tcPr>
            <w:tcW w:w="1440" w:type="dxa"/>
          </w:tcPr>
          <w:p w14:paraId="4D980F97" w14:textId="77777777" w:rsidR="001B7DC8" w:rsidRPr="001B7DC8" w:rsidRDefault="001B7DC8" w:rsidP="009C49B1">
            <w:pPr>
              <w:rPr>
                <w:sz w:val="18"/>
                <w:szCs w:val="18"/>
                <w:lang w:val="en-GB"/>
              </w:rPr>
            </w:pPr>
            <w:r w:rsidRPr="001B7DC8">
              <w:rPr>
                <w:sz w:val="18"/>
                <w:szCs w:val="18"/>
                <w:lang w:val="en-GB"/>
              </w:rPr>
              <w:t>111</w:t>
            </w:r>
          </w:p>
        </w:tc>
        <w:tc>
          <w:tcPr>
            <w:tcW w:w="1440" w:type="dxa"/>
          </w:tcPr>
          <w:p w14:paraId="5D9B02BF" w14:textId="77777777" w:rsidR="001B7DC8" w:rsidRPr="001B7DC8" w:rsidRDefault="001B7DC8" w:rsidP="009C49B1">
            <w:pPr>
              <w:rPr>
                <w:sz w:val="18"/>
                <w:szCs w:val="18"/>
                <w:lang w:val="en-GB"/>
              </w:rPr>
            </w:pPr>
            <w:r w:rsidRPr="001B7DC8">
              <w:rPr>
                <w:sz w:val="18"/>
                <w:szCs w:val="18"/>
                <w:lang w:val="en-GB"/>
              </w:rPr>
              <w:t>2.15 (1.08)</w:t>
            </w:r>
          </w:p>
        </w:tc>
        <w:tc>
          <w:tcPr>
            <w:tcW w:w="1440" w:type="dxa"/>
          </w:tcPr>
          <w:p w14:paraId="1EC552FF" w14:textId="77777777" w:rsidR="001B7DC8" w:rsidRPr="001B7DC8" w:rsidRDefault="001B7DC8" w:rsidP="009C49B1">
            <w:pPr>
              <w:rPr>
                <w:sz w:val="18"/>
                <w:szCs w:val="18"/>
                <w:lang w:val="en-GB"/>
              </w:rPr>
            </w:pPr>
            <w:r w:rsidRPr="001B7DC8">
              <w:rPr>
                <w:sz w:val="18"/>
                <w:szCs w:val="18"/>
                <w:lang w:val="en-GB"/>
              </w:rPr>
              <w:t>82</w:t>
            </w:r>
          </w:p>
        </w:tc>
        <w:tc>
          <w:tcPr>
            <w:tcW w:w="1440" w:type="dxa"/>
          </w:tcPr>
          <w:p w14:paraId="130DD2E9" w14:textId="77777777" w:rsidR="001B7DC8" w:rsidRPr="001B7DC8" w:rsidRDefault="001B7DC8" w:rsidP="009C49B1">
            <w:pPr>
              <w:rPr>
                <w:sz w:val="18"/>
                <w:szCs w:val="18"/>
                <w:lang w:val="en-GB"/>
              </w:rPr>
            </w:pPr>
            <w:r w:rsidRPr="001B7DC8">
              <w:rPr>
                <w:sz w:val="18"/>
                <w:szCs w:val="18"/>
                <w:lang w:val="en-GB"/>
              </w:rPr>
              <w:t>3.568e-07</w:t>
            </w:r>
          </w:p>
        </w:tc>
      </w:tr>
      <w:tr w:rsidR="001B7DC8" w:rsidRPr="001B7DC8" w14:paraId="37DB71A5" w14:textId="77777777" w:rsidTr="009C49B1">
        <w:trPr>
          <w:jc w:val="center"/>
        </w:trPr>
        <w:tc>
          <w:tcPr>
            <w:tcW w:w="1440" w:type="dxa"/>
          </w:tcPr>
          <w:p w14:paraId="673F61B4" w14:textId="77777777" w:rsidR="001B7DC8" w:rsidRPr="001B7DC8" w:rsidRDefault="001B7DC8" w:rsidP="009C49B1">
            <w:pPr>
              <w:rPr>
                <w:sz w:val="18"/>
                <w:szCs w:val="18"/>
                <w:lang w:val="en-GB"/>
              </w:rPr>
            </w:pPr>
            <w:r w:rsidRPr="001B7DC8">
              <w:rPr>
                <w:sz w:val="18"/>
                <w:szCs w:val="18"/>
                <w:lang w:val="en-GB"/>
              </w:rPr>
              <w:t>How often do you experience the following problems during a typical week? [Feeling of heaviness in legs or arms]</w:t>
            </w:r>
          </w:p>
        </w:tc>
        <w:tc>
          <w:tcPr>
            <w:tcW w:w="1440" w:type="dxa"/>
          </w:tcPr>
          <w:p w14:paraId="05942B82" w14:textId="77777777" w:rsidR="001B7DC8" w:rsidRPr="001B7DC8" w:rsidRDefault="001B7DC8" w:rsidP="009C49B1">
            <w:pPr>
              <w:rPr>
                <w:sz w:val="18"/>
                <w:szCs w:val="18"/>
                <w:lang w:val="en-GB"/>
              </w:rPr>
            </w:pPr>
            <w:r w:rsidRPr="001B7DC8">
              <w:rPr>
                <w:sz w:val="18"/>
                <w:szCs w:val="18"/>
                <w:lang w:val="en-GB"/>
              </w:rPr>
              <w:t>3.42 (0.65)</w:t>
            </w:r>
          </w:p>
        </w:tc>
        <w:tc>
          <w:tcPr>
            <w:tcW w:w="1440" w:type="dxa"/>
          </w:tcPr>
          <w:p w14:paraId="2055CA08" w14:textId="77777777" w:rsidR="001B7DC8" w:rsidRPr="001B7DC8" w:rsidRDefault="001B7DC8" w:rsidP="009C49B1">
            <w:pPr>
              <w:rPr>
                <w:sz w:val="18"/>
                <w:szCs w:val="18"/>
                <w:lang w:val="en-GB"/>
              </w:rPr>
            </w:pPr>
            <w:r w:rsidRPr="001B7DC8">
              <w:rPr>
                <w:sz w:val="18"/>
                <w:szCs w:val="18"/>
                <w:lang w:val="en-GB"/>
              </w:rPr>
              <w:t>111</w:t>
            </w:r>
          </w:p>
        </w:tc>
        <w:tc>
          <w:tcPr>
            <w:tcW w:w="1440" w:type="dxa"/>
          </w:tcPr>
          <w:p w14:paraId="16346A67" w14:textId="77777777" w:rsidR="001B7DC8" w:rsidRPr="001B7DC8" w:rsidRDefault="001B7DC8" w:rsidP="009C49B1">
            <w:pPr>
              <w:rPr>
                <w:sz w:val="18"/>
                <w:szCs w:val="18"/>
                <w:lang w:val="en-GB"/>
              </w:rPr>
            </w:pPr>
            <w:r w:rsidRPr="001B7DC8">
              <w:rPr>
                <w:sz w:val="18"/>
                <w:szCs w:val="18"/>
                <w:lang w:val="en-GB"/>
              </w:rPr>
              <w:t>2.41 (1.22)</w:t>
            </w:r>
          </w:p>
        </w:tc>
        <w:tc>
          <w:tcPr>
            <w:tcW w:w="1440" w:type="dxa"/>
          </w:tcPr>
          <w:p w14:paraId="73E2AE8E" w14:textId="77777777" w:rsidR="001B7DC8" w:rsidRPr="001B7DC8" w:rsidRDefault="001B7DC8" w:rsidP="009C49B1">
            <w:pPr>
              <w:rPr>
                <w:sz w:val="18"/>
                <w:szCs w:val="18"/>
                <w:lang w:val="en-GB"/>
              </w:rPr>
            </w:pPr>
            <w:r w:rsidRPr="001B7DC8">
              <w:rPr>
                <w:sz w:val="18"/>
                <w:szCs w:val="18"/>
                <w:lang w:val="en-GB"/>
              </w:rPr>
              <w:t>82</w:t>
            </w:r>
          </w:p>
        </w:tc>
        <w:tc>
          <w:tcPr>
            <w:tcW w:w="1440" w:type="dxa"/>
          </w:tcPr>
          <w:p w14:paraId="5A4F862E" w14:textId="77777777" w:rsidR="001B7DC8" w:rsidRPr="001B7DC8" w:rsidRDefault="001B7DC8" w:rsidP="009C49B1">
            <w:pPr>
              <w:rPr>
                <w:sz w:val="18"/>
                <w:szCs w:val="18"/>
                <w:lang w:val="en-GB"/>
              </w:rPr>
            </w:pPr>
            <w:r w:rsidRPr="001B7DC8">
              <w:rPr>
                <w:sz w:val="18"/>
                <w:szCs w:val="18"/>
                <w:lang w:val="en-GB"/>
              </w:rPr>
              <w:t>1.356e-09</w:t>
            </w:r>
          </w:p>
        </w:tc>
      </w:tr>
      <w:tr w:rsidR="001B7DC8" w:rsidRPr="001B7DC8" w14:paraId="77BA5E1C" w14:textId="77777777" w:rsidTr="009C49B1">
        <w:trPr>
          <w:jc w:val="center"/>
        </w:trPr>
        <w:tc>
          <w:tcPr>
            <w:tcW w:w="1440" w:type="dxa"/>
          </w:tcPr>
          <w:p w14:paraId="78A3A619" w14:textId="77777777" w:rsidR="001B7DC8" w:rsidRPr="001B7DC8" w:rsidRDefault="001B7DC8" w:rsidP="009C49B1">
            <w:pPr>
              <w:rPr>
                <w:sz w:val="18"/>
                <w:szCs w:val="18"/>
                <w:lang w:val="en-GB"/>
              </w:rPr>
            </w:pPr>
            <w:r w:rsidRPr="001B7DC8">
              <w:rPr>
                <w:sz w:val="18"/>
                <w:szCs w:val="18"/>
                <w:lang w:val="en-GB"/>
              </w:rPr>
              <w:t>How often do you experience the following problems during a typical week? [Limitations in mobility or daily activities]</w:t>
            </w:r>
          </w:p>
        </w:tc>
        <w:tc>
          <w:tcPr>
            <w:tcW w:w="1440" w:type="dxa"/>
          </w:tcPr>
          <w:p w14:paraId="39280126" w14:textId="77777777" w:rsidR="001B7DC8" w:rsidRPr="001B7DC8" w:rsidRDefault="001B7DC8" w:rsidP="009C49B1">
            <w:pPr>
              <w:rPr>
                <w:sz w:val="18"/>
                <w:szCs w:val="18"/>
                <w:lang w:val="en-GB"/>
              </w:rPr>
            </w:pPr>
            <w:r w:rsidRPr="001B7DC8">
              <w:rPr>
                <w:sz w:val="18"/>
                <w:szCs w:val="18"/>
                <w:lang w:val="en-GB"/>
              </w:rPr>
              <w:t>2.42 (1.06)</w:t>
            </w:r>
          </w:p>
        </w:tc>
        <w:tc>
          <w:tcPr>
            <w:tcW w:w="1440" w:type="dxa"/>
          </w:tcPr>
          <w:p w14:paraId="4EC0D037" w14:textId="77777777" w:rsidR="001B7DC8" w:rsidRPr="001B7DC8" w:rsidRDefault="001B7DC8" w:rsidP="009C49B1">
            <w:pPr>
              <w:rPr>
                <w:sz w:val="18"/>
                <w:szCs w:val="18"/>
                <w:lang w:val="en-GB"/>
              </w:rPr>
            </w:pPr>
            <w:r w:rsidRPr="001B7DC8">
              <w:rPr>
                <w:sz w:val="18"/>
                <w:szCs w:val="18"/>
                <w:lang w:val="en-GB"/>
              </w:rPr>
              <w:t>111</w:t>
            </w:r>
          </w:p>
        </w:tc>
        <w:tc>
          <w:tcPr>
            <w:tcW w:w="1440" w:type="dxa"/>
          </w:tcPr>
          <w:p w14:paraId="5600BDC6" w14:textId="77777777" w:rsidR="001B7DC8" w:rsidRPr="001B7DC8" w:rsidRDefault="001B7DC8" w:rsidP="009C49B1">
            <w:pPr>
              <w:rPr>
                <w:sz w:val="18"/>
                <w:szCs w:val="18"/>
                <w:lang w:val="en-GB"/>
              </w:rPr>
            </w:pPr>
            <w:r w:rsidRPr="001B7DC8">
              <w:rPr>
                <w:sz w:val="18"/>
                <w:szCs w:val="18"/>
                <w:lang w:val="en-GB"/>
              </w:rPr>
              <w:t>1.98 (1.09)</w:t>
            </w:r>
          </w:p>
        </w:tc>
        <w:tc>
          <w:tcPr>
            <w:tcW w:w="1440" w:type="dxa"/>
          </w:tcPr>
          <w:p w14:paraId="757D2F11" w14:textId="77777777" w:rsidR="001B7DC8" w:rsidRPr="001B7DC8" w:rsidRDefault="001B7DC8" w:rsidP="009C49B1">
            <w:pPr>
              <w:rPr>
                <w:sz w:val="18"/>
                <w:szCs w:val="18"/>
                <w:lang w:val="en-GB"/>
              </w:rPr>
            </w:pPr>
            <w:r w:rsidRPr="001B7DC8">
              <w:rPr>
                <w:sz w:val="18"/>
                <w:szCs w:val="18"/>
                <w:lang w:val="en-GB"/>
              </w:rPr>
              <w:t>82</w:t>
            </w:r>
          </w:p>
        </w:tc>
        <w:tc>
          <w:tcPr>
            <w:tcW w:w="1440" w:type="dxa"/>
          </w:tcPr>
          <w:p w14:paraId="5E838CB8" w14:textId="77777777" w:rsidR="001B7DC8" w:rsidRPr="001B7DC8" w:rsidRDefault="001B7DC8" w:rsidP="009C49B1">
            <w:pPr>
              <w:rPr>
                <w:sz w:val="18"/>
                <w:szCs w:val="18"/>
                <w:lang w:val="en-GB"/>
              </w:rPr>
            </w:pPr>
            <w:r w:rsidRPr="001B7DC8">
              <w:rPr>
                <w:sz w:val="18"/>
                <w:szCs w:val="18"/>
                <w:lang w:val="en-GB"/>
              </w:rPr>
              <w:t>0.0061</w:t>
            </w:r>
          </w:p>
        </w:tc>
      </w:tr>
      <w:tr w:rsidR="001B7DC8" w:rsidRPr="001B7DC8" w14:paraId="646290F4" w14:textId="77777777" w:rsidTr="009C49B1">
        <w:trPr>
          <w:jc w:val="center"/>
        </w:trPr>
        <w:tc>
          <w:tcPr>
            <w:tcW w:w="1440" w:type="dxa"/>
          </w:tcPr>
          <w:p w14:paraId="43B94E42" w14:textId="77777777" w:rsidR="001B7DC8" w:rsidRPr="001B7DC8" w:rsidRDefault="001B7DC8" w:rsidP="009C49B1">
            <w:pPr>
              <w:rPr>
                <w:sz w:val="18"/>
                <w:szCs w:val="18"/>
                <w:lang w:val="en-GB"/>
              </w:rPr>
            </w:pPr>
            <w:r w:rsidRPr="001B7DC8">
              <w:rPr>
                <w:sz w:val="18"/>
                <w:szCs w:val="18"/>
                <w:lang w:val="en-GB"/>
              </w:rPr>
              <w:t>Symptom composite (mean of items)</w:t>
            </w:r>
          </w:p>
        </w:tc>
        <w:tc>
          <w:tcPr>
            <w:tcW w:w="1440" w:type="dxa"/>
          </w:tcPr>
          <w:p w14:paraId="36FC1E02" w14:textId="77777777" w:rsidR="001B7DC8" w:rsidRPr="001B7DC8" w:rsidRDefault="001B7DC8" w:rsidP="009C49B1">
            <w:pPr>
              <w:rPr>
                <w:sz w:val="18"/>
                <w:szCs w:val="18"/>
                <w:lang w:val="en-GB"/>
              </w:rPr>
            </w:pPr>
            <w:r w:rsidRPr="001B7DC8">
              <w:rPr>
                <w:sz w:val="18"/>
                <w:szCs w:val="18"/>
                <w:lang w:val="en-GB"/>
              </w:rPr>
              <w:t>2.99 (0.63)</w:t>
            </w:r>
          </w:p>
        </w:tc>
        <w:tc>
          <w:tcPr>
            <w:tcW w:w="1440" w:type="dxa"/>
          </w:tcPr>
          <w:p w14:paraId="0117F903" w14:textId="77777777" w:rsidR="001B7DC8" w:rsidRPr="001B7DC8" w:rsidRDefault="001B7DC8" w:rsidP="009C49B1">
            <w:pPr>
              <w:rPr>
                <w:sz w:val="18"/>
                <w:szCs w:val="18"/>
                <w:lang w:val="en-GB"/>
              </w:rPr>
            </w:pPr>
            <w:r w:rsidRPr="001B7DC8">
              <w:rPr>
                <w:sz w:val="18"/>
                <w:szCs w:val="18"/>
                <w:lang w:val="en-GB"/>
              </w:rPr>
              <w:t>111</w:t>
            </w:r>
          </w:p>
        </w:tc>
        <w:tc>
          <w:tcPr>
            <w:tcW w:w="1440" w:type="dxa"/>
          </w:tcPr>
          <w:p w14:paraId="0FB8AA1B" w14:textId="77777777" w:rsidR="001B7DC8" w:rsidRPr="001B7DC8" w:rsidRDefault="001B7DC8" w:rsidP="009C49B1">
            <w:pPr>
              <w:rPr>
                <w:sz w:val="18"/>
                <w:szCs w:val="18"/>
                <w:lang w:val="en-GB"/>
              </w:rPr>
            </w:pPr>
            <w:r w:rsidRPr="001B7DC8">
              <w:rPr>
                <w:sz w:val="18"/>
                <w:szCs w:val="18"/>
                <w:lang w:val="en-GB"/>
              </w:rPr>
              <w:t>2.27 (0.94)</w:t>
            </w:r>
          </w:p>
        </w:tc>
        <w:tc>
          <w:tcPr>
            <w:tcW w:w="1440" w:type="dxa"/>
          </w:tcPr>
          <w:p w14:paraId="3A628243" w14:textId="77777777" w:rsidR="001B7DC8" w:rsidRPr="001B7DC8" w:rsidRDefault="001B7DC8" w:rsidP="009C49B1">
            <w:pPr>
              <w:rPr>
                <w:sz w:val="18"/>
                <w:szCs w:val="18"/>
                <w:lang w:val="en-GB"/>
              </w:rPr>
            </w:pPr>
            <w:r w:rsidRPr="001B7DC8">
              <w:rPr>
                <w:sz w:val="18"/>
                <w:szCs w:val="18"/>
                <w:lang w:val="en-GB"/>
              </w:rPr>
              <w:t>83</w:t>
            </w:r>
          </w:p>
        </w:tc>
        <w:tc>
          <w:tcPr>
            <w:tcW w:w="1440" w:type="dxa"/>
          </w:tcPr>
          <w:p w14:paraId="702C0902" w14:textId="77777777" w:rsidR="001B7DC8" w:rsidRPr="001B7DC8" w:rsidRDefault="001B7DC8" w:rsidP="009C49B1">
            <w:pPr>
              <w:rPr>
                <w:sz w:val="18"/>
                <w:szCs w:val="18"/>
                <w:lang w:val="en-GB"/>
              </w:rPr>
            </w:pPr>
            <w:r w:rsidRPr="001B7DC8">
              <w:rPr>
                <w:sz w:val="18"/>
                <w:szCs w:val="18"/>
                <w:lang w:val="en-GB"/>
              </w:rPr>
              <w:t>1.785e-08</w:t>
            </w:r>
          </w:p>
        </w:tc>
      </w:tr>
    </w:tbl>
    <w:p w14:paraId="345FCAD1" w14:textId="77777777" w:rsidR="001B7DC8" w:rsidRPr="001B7DC8" w:rsidRDefault="001B7DC8" w:rsidP="001B7DC8">
      <w:pPr>
        <w:rPr>
          <w:sz w:val="18"/>
          <w:szCs w:val="18"/>
          <w:lang w:val="en-GB"/>
        </w:rPr>
      </w:pPr>
      <w:r w:rsidRPr="001B7DC8">
        <w:rPr>
          <w:i/>
          <w:sz w:val="18"/>
          <w:szCs w:val="18"/>
          <w:lang w:val="en-GB"/>
        </w:rPr>
        <w:t>Note: Lipedema-specific symptom items were administered in Norwegian. English translations are provided for readability. Response options: Never, Seldom, Sometimes, Often, Always (coded 0–4; higher=worse).</w:t>
      </w:r>
    </w:p>
    <w:p w14:paraId="59F47629" w14:textId="77777777" w:rsidR="001B7DC8" w:rsidRPr="001B7DC8" w:rsidRDefault="001B7DC8" w:rsidP="001B7DC8">
      <w:pPr>
        <w:rPr>
          <w:lang w:val="en-GB"/>
        </w:rPr>
      </w:pPr>
    </w:p>
    <w:p w14:paraId="1265F29E" w14:textId="77777777" w:rsidR="001B7DC8" w:rsidRPr="001B7DC8" w:rsidRDefault="001B7DC8" w:rsidP="001B7DC8">
      <w:pPr>
        <w:pStyle w:val="Heading1"/>
        <w:rPr>
          <w:lang w:val="en-GB"/>
        </w:rPr>
      </w:pPr>
      <w:r w:rsidRPr="001B7DC8">
        <w:rPr>
          <w:lang w:val="en-GB"/>
        </w:rPr>
        <w:t>Appendix: Norwegian symptom item wording</w:t>
      </w:r>
    </w:p>
    <w:p w14:paraId="3DCC550C" w14:textId="77777777" w:rsidR="001B7DC8" w:rsidRPr="00526E33" w:rsidRDefault="001B7DC8" w:rsidP="001B7DC8">
      <w:pPr>
        <w:spacing w:before="100" w:beforeAutospacing="1" w:after="100" w:afterAutospacing="1"/>
        <w:outlineLvl w:val="1"/>
        <w:rPr>
          <w:rFonts w:eastAsia="Times New Roman" w:cs="Times New Roman"/>
          <w:b/>
          <w:bCs/>
          <w:color w:val="000000"/>
          <w:kern w:val="0"/>
          <w:sz w:val="28"/>
          <w:szCs w:val="28"/>
          <w:lang w:val="en-GB" w:eastAsia="nb-NO"/>
          <w14:ligatures w14:val="none"/>
        </w:rPr>
      </w:pPr>
      <w:r w:rsidRPr="00526E33">
        <w:rPr>
          <w:rFonts w:eastAsia="Times New Roman" w:cs="Times New Roman"/>
          <w:b/>
          <w:bCs/>
          <w:color w:val="000000"/>
          <w:kern w:val="0"/>
          <w:sz w:val="28"/>
          <w:szCs w:val="28"/>
          <w:lang w:val="en-GB" w:eastAsia="nb-NO"/>
          <w14:ligatures w14:val="none"/>
        </w:rPr>
        <w:t>Appendix A — Norwegian originals (treatment options and symptom wording)</w:t>
      </w:r>
    </w:p>
    <w:p w14:paraId="20998D3E" w14:textId="77777777" w:rsidR="001B7DC8" w:rsidRPr="001B7DC8" w:rsidRDefault="001B7DC8" w:rsidP="001B7DC8">
      <w:pPr>
        <w:rPr>
          <w:lang w:val="en-GB"/>
        </w:rPr>
      </w:pPr>
    </w:p>
    <w:p w14:paraId="6C194434" w14:textId="77777777" w:rsidR="001B7DC8" w:rsidRPr="001B7DC8" w:rsidRDefault="001B7DC8" w:rsidP="001B7DC8">
      <w:pPr>
        <w:rPr>
          <w:lang w:val="en-GB"/>
        </w:rPr>
      </w:pPr>
      <w:r w:rsidRPr="001B7DC8">
        <w:rPr>
          <w:b/>
          <w:lang w:val="en-GB"/>
        </w:rPr>
        <w:t>Appendix Table A1.</w:t>
      </w:r>
    </w:p>
    <w:tbl>
      <w:tblPr>
        <w:tblStyle w:val="TableGrid"/>
        <w:tblW w:w="0" w:type="auto"/>
        <w:jc w:val="center"/>
        <w:tblLook w:val="04A0" w:firstRow="1" w:lastRow="0" w:firstColumn="1" w:lastColumn="0" w:noHBand="0" w:noVBand="1"/>
      </w:tblPr>
      <w:tblGrid>
        <w:gridCol w:w="4320"/>
        <w:gridCol w:w="4320"/>
      </w:tblGrid>
      <w:tr w:rsidR="001B7DC8" w:rsidRPr="001B7DC8" w14:paraId="4645AFCD" w14:textId="77777777" w:rsidTr="009C49B1">
        <w:trPr>
          <w:jc w:val="center"/>
        </w:trPr>
        <w:tc>
          <w:tcPr>
            <w:tcW w:w="4320" w:type="dxa"/>
          </w:tcPr>
          <w:p w14:paraId="205A708F" w14:textId="77777777" w:rsidR="001B7DC8" w:rsidRPr="001B7DC8" w:rsidRDefault="001B7DC8" w:rsidP="009C49B1">
            <w:pPr>
              <w:rPr>
                <w:sz w:val="18"/>
                <w:szCs w:val="18"/>
                <w:lang w:val="en-GB"/>
              </w:rPr>
            </w:pPr>
            <w:r w:rsidRPr="001B7DC8">
              <w:rPr>
                <w:b/>
                <w:sz w:val="18"/>
                <w:szCs w:val="18"/>
                <w:lang w:val="en-GB"/>
              </w:rPr>
              <w:t>English item text (displayed)</w:t>
            </w:r>
          </w:p>
        </w:tc>
        <w:tc>
          <w:tcPr>
            <w:tcW w:w="4320" w:type="dxa"/>
          </w:tcPr>
          <w:p w14:paraId="489CE68E" w14:textId="77777777" w:rsidR="001B7DC8" w:rsidRPr="001B7DC8" w:rsidRDefault="001B7DC8" w:rsidP="009C49B1">
            <w:pPr>
              <w:rPr>
                <w:sz w:val="18"/>
                <w:szCs w:val="18"/>
                <w:lang w:val="en-GB"/>
              </w:rPr>
            </w:pPr>
            <w:r w:rsidRPr="001B7DC8">
              <w:rPr>
                <w:b/>
                <w:sz w:val="18"/>
                <w:szCs w:val="18"/>
                <w:lang w:val="en-GB"/>
              </w:rPr>
              <w:t>Norwegian original (as administered)</w:t>
            </w:r>
          </w:p>
        </w:tc>
      </w:tr>
      <w:tr w:rsidR="001B7DC8" w:rsidRPr="001B7DC8" w14:paraId="69EB61BE" w14:textId="77777777" w:rsidTr="009C49B1">
        <w:trPr>
          <w:jc w:val="center"/>
        </w:trPr>
        <w:tc>
          <w:tcPr>
            <w:tcW w:w="4320" w:type="dxa"/>
          </w:tcPr>
          <w:p w14:paraId="7A76199F" w14:textId="77777777" w:rsidR="001B7DC8" w:rsidRPr="001B7DC8" w:rsidRDefault="001B7DC8" w:rsidP="009C49B1">
            <w:pPr>
              <w:rPr>
                <w:sz w:val="18"/>
                <w:szCs w:val="18"/>
                <w:lang w:val="en-GB"/>
              </w:rPr>
            </w:pPr>
            <w:r w:rsidRPr="001B7DC8">
              <w:rPr>
                <w:sz w:val="18"/>
                <w:szCs w:val="18"/>
                <w:lang w:val="en-GB"/>
              </w:rPr>
              <w:t>How often do you experience the following problems during a typical week? [Pain in legs or arms]</w:t>
            </w:r>
          </w:p>
        </w:tc>
        <w:tc>
          <w:tcPr>
            <w:tcW w:w="4320" w:type="dxa"/>
          </w:tcPr>
          <w:p w14:paraId="1FC1D3E9" w14:textId="77777777" w:rsidR="001B7DC8" w:rsidRPr="001B7DC8" w:rsidRDefault="001B7DC8" w:rsidP="009C49B1">
            <w:pPr>
              <w:rPr>
                <w:sz w:val="18"/>
                <w:szCs w:val="18"/>
                <w:lang w:val="en-GB"/>
              </w:rPr>
            </w:pPr>
            <w:r w:rsidRPr="001B7DC8">
              <w:rPr>
                <w:sz w:val="18"/>
                <w:szCs w:val="18"/>
                <w:lang w:val="en-GB"/>
              </w:rPr>
              <w:t>Hvor ofte opplever du følgende plager i løpet av en vanlig uke? [Smerter i ben eller armer]</w:t>
            </w:r>
          </w:p>
        </w:tc>
      </w:tr>
      <w:tr w:rsidR="001B7DC8" w:rsidRPr="001B7DC8" w14:paraId="0E327AAA" w14:textId="77777777" w:rsidTr="009C49B1">
        <w:trPr>
          <w:jc w:val="center"/>
        </w:trPr>
        <w:tc>
          <w:tcPr>
            <w:tcW w:w="4320" w:type="dxa"/>
          </w:tcPr>
          <w:p w14:paraId="06119689" w14:textId="77777777" w:rsidR="001B7DC8" w:rsidRPr="001B7DC8" w:rsidRDefault="001B7DC8" w:rsidP="009C49B1">
            <w:pPr>
              <w:rPr>
                <w:sz w:val="18"/>
                <w:szCs w:val="18"/>
                <w:lang w:val="en-GB"/>
              </w:rPr>
            </w:pPr>
            <w:r w:rsidRPr="001B7DC8">
              <w:rPr>
                <w:sz w:val="18"/>
                <w:szCs w:val="18"/>
                <w:lang w:val="en-GB"/>
              </w:rPr>
              <w:t>How often do you experience the following problems during a typical week? [Bruising]</w:t>
            </w:r>
          </w:p>
        </w:tc>
        <w:tc>
          <w:tcPr>
            <w:tcW w:w="4320" w:type="dxa"/>
          </w:tcPr>
          <w:p w14:paraId="6BC8B772" w14:textId="77777777" w:rsidR="001B7DC8" w:rsidRPr="001B7DC8" w:rsidRDefault="001B7DC8" w:rsidP="009C49B1">
            <w:pPr>
              <w:rPr>
                <w:sz w:val="18"/>
                <w:szCs w:val="18"/>
                <w:lang w:val="en-GB"/>
              </w:rPr>
            </w:pPr>
            <w:r w:rsidRPr="001B7DC8">
              <w:rPr>
                <w:sz w:val="18"/>
                <w:szCs w:val="18"/>
                <w:lang w:val="en-GB"/>
              </w:rPr>
              <w:t>Hvor ofte opplever du følgende plager i løpet av en vanlig uke? [Blåmerker ]</w:t>
            </w:r>
          </w:p>
        </w:tc>
      </w:tr>
      <w:tr w:rsidR="001B7DC8" w:rsidRPr="001B7DC8" w14:paraId="7207B346" w14:textId="77777777" w:rsidTr="009C49B1">
        <w:trPr>
          <w:jc w:val="center"/>
        </w:trPr>
        <w:tc>
          <w:tcPr>
            <w:tcW w:w="4320" w:type="dxa"/>
          </w:tcPr>
          <w:p w14:paraId="419894F7" w14:textId="77777777" w:rsidR="001B7DC8" w:rsidRPr="001B7DC8" w:rsidRDefault="001B7DC8" w:rsidP="009C49B1">
            <w:pPr>
              <w:rPr>
                <w:sz w:val="18"/>
                <w:szCs w:val="18"/>
                <w:lang w:val="en-GB"/>
              </w:rPr>
            </w:pPr>
            <w:r w:rsidRPr="001B7DC8">
              <w:rPr>
                <w:sz w:val="18"/>
                <w:szCs w:val="18"/>
                <w:lang w:val="en-GB"/>
              </w:rPr>
              <w:t>How often do you experience the following problems during a typical week? [Feeling of heaviness in legs or arms]</w:t>
            </w:r>
          </w:p>
        </w:tc>
        <w:tc>
          <w:tcPr>
            <w:tcW w:w="4320" w:type="dxa"/>
          </w:tcPr>
          <w:p w14:paraId="15978CF8" w14:textId="77777777" w:rsidR="001B7DC8" w:rsidRPr="001B7DC8" w:rsidRDefault="001B7DC8" w:rsidP="009C49B1">
            <w:pPr>
              <w:rPr>
                <w:sz w:val="18"/>
                <w:szCs w:val="18"/>
                <w:lang w:val="en-GB"/>
              </w:rPr>
            </w:pPr>
            <w:r w:rsidRPr="001B7DC8">
              <w:rPr>
                <w:sz w:val="18"/>
                <w:szCs w:val="18"/>
                <w:lang w:val="en-GB"/>
              </w:rPr>
              <w:t>Hvor ofte opplever du følgende plager i løpet av en vanlig uke? [Tyngdefølelse i ben eller armer]</w:t>
            </w:r>
          </w:p>
        </w:tc>
      </w:tr>
      <w:tr w:rsidR="001B7DC8" w:rsidRPr="001B7DC8" w14:paraId="4F999A6B" w14:textId="77777777" w:rsidTr="009C49B1">
        <w:trPr>
          <w:jc w:val="center"/>
        </w:trPr>
        <w:tc>
          <w:tcPr>
            <w:tcW w:w="4320" w:type="dxa"/>
          </w:tcPr>
          <w:p w14:paraId="2C757293" w14:textId="77777777" w:rsidR="001B7DC8" w:rsidRPr="001B7DC8" w:rsidRDefault="001B7DC8" w:rsidP="009C49B1">
            <w:pPr>
              <w:rPr>
                <w:sz w:val="18"/>
                <w:szCs w:val="18"/>
                <w:lang w:val="en-GB"/>
              </w:rPr>
            </w:pPr>
            <w:r w:rsidRPr="001B7DC8">
              <w:rPr>
                <w:sz w:val="18"/>
                <w:szCs w:val="18"/>
                <w:lang w:val="en-GB"/>
              </w:rPr>
              <w:t>How often do you experience the following problems during a typical week? [Limitations in mobility or daily activities]</w:t>
            </w:r>
          </w:p>
        </w:tc>
        <w:tc>
          <w:tcPr>
            <w:tcW w:w="4320" w:type="dxa"/>
          </w:tcPr>
          <w:p w14:paraId="30B94BB1" w14:textId="77777777" w:rsidR="001B7DC8" w:rsidRPr="001B7DC8" w:rsidRDefault="001B7DC8" w:rsidP="009C49B1">
            <w:pPr>
              <w:rPr>
                <w:sz w:val="18"/>
                <w:szCs w:val="18"/>
                <w:lang w:val="en-GB"/>
              </w:rPr>
            </w:pPr>
            <w:r w:rsidRPr="001B7DC8">
              <w:rPr>
                <w:sz w:val="18"/>
                <w:szCs w:val="18"/>
                <w:lang w:val="en-GB"/>
              </w:rPr>
              <w:t>Hvor ofte opplever du følgende plager i løpet av en vanlig uke? [Begrensninger i bevegelighet eller daglige aktiviteter]</w:t>
            </w:r>
          </w:p>
        </w:tc>
      </w:tr>
    </w:tbl>
    <w:p w14:paraId="7BDABF18" w14:textId="0BCCC7EA" w:rsidR="00526E33" w:rsidRPr="00526E33" w:rsidRDefault="00526E33" w:rsidP="00526E33">
      <w:pPr>
        <w:rPr>
          <w:rFonts w:ascii="Times New Roman" w:eastAsia="Times New Roman" w:hAnsi="Times New Roman" w:cs="Times New Roman"/>
          <w:kern w:val="0"/>
          <w:lang w:val="en-GB" w:eastAsia="nb-NO"/>
          <w14:ligatures w14:val="none"/>
        </w:rPr>
      </w:pPr>
    </w:p>
    <w:p w14:paraId="11E202D1" w14:textId="7D61C3EF" w:rsidR="00526E33" w:rsidRPr="00526E33" w:rsidRDefault="00526E33" w:rsidP="001B7DC8">
      <w:pPr>
        <w:pStyle w:val="Heading1"/>
        <w:rPr>
          <w:lang w:val="en-GB"/>
        </w:rPr>
      </w:pPr>
      <w:r w:rsidRPr="00526E33">
        <w:rPr>
          <w:lang w:val="en-GB"/>
        </w:rPr>
        <w:lastRenderedPageBreak/>
        <w:t xml:space="preserve">References </w:t>
      </w:r>
    </w:p>
    <w:p w14:paraId="2692D296"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Allen EV, Hines EA. Lipedema of the legs: a syndrome characterized by fat legs and orthostatic edema. </w:t>
      </w:r>
      <w:r w:rsidRPr="00526E33">
        <w:rPr>
          <w:rFonts w:eastAsia="Times New Roman" w:cs="Times New Roman"/>
          <w:i/>
          <w:iCs/>
          <w:color w:val="000000"/>
          <w:kern w:val="0"/>
          <w:sz w:val="18"/>
          <w:szCs w:val="18"/>
          <w:lang w:val="en-GB" w:eastAsia="nb-NO"/>
          <w14:ligatures w14:val="none"/>
        </w:rPr>
        <w:t>Proc Staff Meet Mayo Clin.</w:t>
      </w:r>
      <w:r w:rsidRPr="00526E33">
        <w:rPr>
          <w:rFonts w:eastAsia="Times New Roman" w:cs="Times New Roman"/>
          <w:color w:val="000000"/>
          <w:kern w:val="0"/>
          <w:sz w:val="18"/>
          <w:szCs w:val="18"/>
          <w:lang w:val="en-GB" w:eastAsia="nb-NO"/>
          <w14:ligatures w14:val="none"/>
        </w:rPr>
        <w:t> 1940;15:184–187.</w:t>
      </w:r>
    </w:p>
    <w:p w14:paraId="69A582FB"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Wold LE, Hines EA Jr, Allen EV. Lipedema of the legs; a syndrome characterized by fat legs and edema. </w:t>
      </w:r>
      <w:r w:rsidRPr="00526E33">
        <w:rPr>
          <w:rFonts w:eastAsia="Times New Roman" w:cs="Times New Roman"/>
          <w:i/>
          <w:iCs/>
          <w:color w:val="000000"/>
          <w:kern w:val="0"/>
          <w:sz w:val="18"/>
          <w:szCs w:val="18"/>
          <w:lang w:val="en-GB" w:eastAsia="nb-NO"/>
          <w14:ligatures w14:val="none"/>
        </w:rPr>
        <w:t>Ann Intern Med.</w:t>
      </w:r>
      <w:r w:rsidRPr="00526E33">
        <w:rPr>
          <w:rFonts w:eastAsia="Times New Roman" w:cs="Times New Roman"/>
          <w:color w:val="000000"/>
          <w:kern w:val="0"/>
          <w:sz w:val="18"/>
          <w:szCs w:val="18"/>
          <w:lang w:val="en-GB" w:eastAsia="nb-NO"/>
          <w14:ligatures w14:val="none"/>
        </w:rPr>
        <w:t> 1951;34(5):1243–1250. doi:10.7326/0003-4819-34-5-1243</w:t>
      </w:r>
    </w:p>
    <w:p w14:paraId="0D9EC3C2"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Wold LE. The history of lipedema: clinical features and classification. </w:t>
      </w:r>
      <w:r w:rsidRPr="00526E33">
        <w:rPr>
          <w:rFonts w:eastAsia="Times New Roman" w:cs="Times New Roman"/>
          <w:i/>
          <w:iCs/>
          <w:color w:val="000000"/>
          <w:kern w:val="0"/>
          <w:sz w:val="18"/>
          <w:szCs w:val="18"/>
          <w:lang w:val="en-GB" w:eastAsia="nb-NO"/>
          <w14:ligatures w14:val="none"/>
        </w:rPr>
        <w:t>Clin Plast Surg.</w:t>
      </w:r>
      <w:r w:rsidRPr="00526E33">
        <w:rPr>
          <w:rFonts w:eastAsia="Times New Roman" w:cs="Times New Roman"/>
          <w:color w:val="000000"/>
          <w:kern w:val="0"/>
          <w:sz w:val="18"/>
          <w:szCs w:val="18"/>
          <w:lang w:val="en-GB" w:eastAsia="nb-NO"/>
          <w14:ligatures w14:val="none"/>
        </w:rPr>
        <w:t> 2000;27(1):1–8.</w:t>
      </w:r>
    </w:p>
    <w:p w14:paraId="1EC8A486"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Rabiee A. Lipedema and adipose tissue: current understanding, controversies, and future directions. </w:t>
      </w:r>
      <w:r w:rsidRPr="00526E33">
        <w:rPr>
          <w:rFonts w:eastAsia="Times New Roman" w:cs="Times New Roman"/>
          <w:i/>
          <w:iCs/>
          <w:color w:val="000000"/>
          <w:kern w:val="0"/>
          <w:sz w:val="18"/>
          <w:szCs w:val="18"/>
          <w:lang w:val="en-GB" w:eastAsia="nb-NO"/>
          <w14:ligatures w14:val="none"/>
        </w:rPr>
        <w:t>Front Cell Dev Biol.</w:t>
      </w:r>
      <w:r w:rsidRPr="00526E33">
        <w:rPr>
          <w:rFonts w:eastAsia="Times New Roman" w:cs="Times New Roman"/>
          <w:color w:val="000000"/>
          <w:kern w:val="0"/>
          <w:sz w:val="18"/>
          <w:szCs w:val="18"/>
          <w:lang w:val="en-GB" w:eastAsia="nb-NO"/>
          <w14:ligatures w14:val="none"/>
        </w:rPr>
        <w:t> 2025; (online ahead of print). doi:10.3389/fcell.2025.xxxxxx</w:t>
      </w:r>
    </w:p>
    <w:p w14:paraId="125C6141"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Bertsch T, Erbacher G. JWC International Consensus Document: Lipoedema: a paradigm shift. </w:t>
      </w:r>
      <w:r w:rsidRPr="00526E33">
        <w:rPr>
          <w:rFonts w:eastAsia="Times New Roman" w:cs="Times New Roman"/>
          <w:i/>
          <w:iCs/>
          <w:color w:val="000000"/>
          <w:kern w:val="0"/>
          <w:sz w:val="18"/>
          <w:szCs w:val="18"/>
          <w:lang w:val="en-GB" w:eastAsia="nb-NO"/>
          <w14:ligatures w14:val="none"/>
        </w:rPr>
        <w:t>J Wound Care.</w:t>
      </w:r>
      <w:r w:rsidRPr="00526E33">
        <w:rPr>
          <w:rFonts w:eastAsia="Times New Roman" w:cs="Times New Roman"/>
          <w:color w:val="000000"/>
          <w:kern w:val="0"/>
          <w:sz w:val="18"/>
          <w:szCs w:val="18"/>
          <w:lang w:val="en-GB" w:eastAsia="nb-NO"/>
          <w14:ligatures w14:val="none"/>
        </w:rPr>
        <w:t>2020;29(Sup11b):S1–Sxx. doi:10.12968/jowc.2020.29.Sup11b.1</w:t>
      </w:r>
    </w:p>
    <w:p w14:paraId="7D0BB368"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Herbst KL, Kahn LA, Iker E, et al. Standard of care for lipedema in the United States. </w:t>
      </w:r>
      <w:r w:rsidRPr="00526E33">
        <w:rPr>
          <w:rFonts w:eastAsia="Times New Roman" w:cs="Times New Roman"/>
          <w:i/>
          <w:iCs/>
          <w:color w:val="000000"/>
          <w:kern w:val="0"/>
          <w:sz w:val="18"/>
          <w:szCs w:val="18"/>
          <w:lang w:val="en-GB" w:eastAsia="nb-NO"/>
          <w14:ligatures w14:val="none"/>
        </w:rPr>
        <w:t>Phlebology.</w:t>
      </w:r>
      <w:r w:rsidRPr="00526E33">
        <w:rPr>
          <w:rFonts w:eastAsia="Times New Roman" w:cs="Times New Roman"/>
          <w:color w:val="000000"/>
          <w:kern w:val="0"/>
          <w:sz w:val="18"/>
          <w:szCs w:val="18"/>
          <w:lang w:val="en-GB" w:eastAsia="nb-NO"/>
          <w14:ligatures w14:val="none"/>
        </w:rPr>
        <w:t>2021;36(10):779–796. doi:10.1177/02683555211015887</w:t>
      </w:r>
    </w:p>
    <w:p w14:paraId="44EE90D8"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German Society of Phlebology and Lymphology. AWMF S2k guideline: Lipoedema. S2k guideline update 2024. Accessed January 2026.</w:t>
      </w:r>
    </w:p>
    <w:p w14:paraId="0F37963F"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Ashwell M, Gunn P, Gibson S. Waist-to-height ratio is a better screening tool than waist circumference and BMI for adult cardiometabolic risk factors: systematic review and meta-analysis. </w:t>
      </w:r>
      <w:r w:rsidRPr="00526E33">
        <w:rPr>
          <w:rFonts w:eastAsia="Times New Roman" w:cs="Times New Roman"/>
          <w:i/>
          <w:iCs/>
          <w:color w:val="000000"/>
          <w:kern w:val="0"/>
          <w:sz w:val="18"/>
          <w:szCs w:val="18"/>
          <w:lang w:val="en-GB" w:eastAsia="nb-NO"/>
          <w14:ligatures w14:val="none"/>
        </w:rPr>
        <w:t>Obes Rev.</w:t>
      </w:r>
      <w:r w:rsidRPr="00526E33">
        <w:rPr>
          <w:rFonts w:eastAsia="Times New Roman" w:cs="Times New Roman"/>
          <w:color w:val="000000"/>
          <w:kern w:val="0"/>
          <w:sz w:val="18"/>
          <w:szCs w:val="18"/>
          <w:lang w:val="en-GB" w:eastAsia="nb-NO"/>
          <w14:ligatures w14:val="none"/>
        </w:rPr>
        <w:t> 2012;13(3):275–286. doi:10.1111/j.1467-789X.2011.00952.x</w:t>
      </w:r>
    </w:p>
    <w:p w14:paraId="628BB851"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Ashwell M, Hsieh SD. Six reasons why the waist-to-height ratio is a rapid and effective global indicator for health risks of obesity. </w:t>
      </w:r>
      <w:r w:rsidRPr="00526E33">
        <w:rPr>
          <w:rFonts w:eastAsia="Times New Roman" w:cs="Times New Roman"/>
          <w:i/>
          <w:iCs/>
          <w:color w:val="000000"/>
          <w:kern w:val="0"/>
          <w:sz w:val="18"/>
          <w:szCs w:val="18"/>
          <w:lang w:val="en-GB" w:eastAsia="nb-NO"/>
          <w14:ligatures w14:val="none"/>
        </w:rPr>
        <w:t>Int J Food Sci Nutr.</w:t>
      </w:r>
      <w:r w:rsidRPr="00526E33">
        <w:rPr>
          <w:rFonts w:eastAsia="Times New Roman" w:cs="Times New Roman"/>
          <w:color w:val="000000"/>
          <w:kern w:val="0"/>
          <w:sz w:val="18"/>
          <w:szCs w:val="18"/>
          <w:lang w:val="en-GB" w:eastAsia="nb-NO"/>
          <w14:ligatures w14:val="none"/>
        </w:rPr>
        <w:t> 2005;56(5):303–307.</w:t>
      </w:r>
    </w:p>
    <w:p w14:paraId="252AD591"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World Health Organization. </w:t>
      </w:r>
      <w:r w:rsidRPr="00526E33">
        <w:rPr>
          <w:rFonts w:eastAsia="Times New Roman" w:cs="Times New Roman"/>
          <w:i/>
          <w:iCs/>
          <w:color w:val="000000"/>
          <w:kern w:val="0"/>
          <w:sz w:val="18"/>
          <w:szCs w:val="18"/>
          <w:lang w:val="en-GB" w:eastAsia="nb-NO"/>
          <w14:ligatures w14:val="none"/>
        </w:rPr>
        <w:t>Obesity: preventing and managing the global epidemic.</w:t>
      </w:r>
      <w:r w:rsidRPr="00526E33">
        <w:rPr>
          <w:rFonts w:eastAsia="Times New Roman" w:cs="Times New Roman"/>
          <w:color w:val="000000"/>
          <w:kern w:val="0"/>
          <w:sz w:val="18"/>
          <w:szCs w:val="18"/>
          <w:lang w:val="en-GB" w:eastAsia="nb-NO"/>
          <w14:ligatures w14:val="none"/>
        </w:rPr>
        <w:t> WHO Technical Report Series 894. Geneva: WHO; 2000.</w:t>
      </w:r>
    </w:p>
    <w:p w14:paraId="774FE2DB"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Ware JE Jr, Kosinski M, Keller SD. A 12-Item Short-Form Health Survey: construction of scales and preliminary tests of reliability and validity. </w:t>
      </w:r>
      <w:r w:rsidRPr="00526E33">
        <w:rPr>
          <w:rFonts w:eastAsia="Times New Roman" w:cs="Times New Roman"/>
          <w:i/>
          <w:iCs/>
          <w:color w:val="000000"/>
          <w:kern w:val="0"/>
          <w:sz w:val="18"/>
          <w:szCs w:val="18"/>
          <w:lang w:val="en-GB" w:eastAsia="nb-NO"/>
          <w14:ligatures w14:val="none"/>
        </w:rPr>
        <w:t>Med Care.</w:t>
      </w:r>
      <w:r w:rsidRPr="00526E33">
        <w:rPr>
          <w:rFonts w:eastAsia="Times New Roman" w:cs="Times New Roman"/>
          <w:color w:val="000000"/>
          <w:kern w:val="0"/>
          <w:sz w:val="18"/>
          <w:szCs w:val="18"/>
          <w:lang w:val="en-GB" w:eastAsia="nb-NO"/>
          <w14:ligatures w14:val="none"/>
        </w:rPr>
        <w:t> 1996;34(3):220–233. doi:10.1097/00005650-199603000-00003</w:t>
      </w:r>
    </w:p>
    <w:p w14:paraId="4EBEDAD4" w14:textId="77777777" w:rsidR="00526E33" w:rsidRPr="00526E33" w:rsidRDefault="00526E33" w:rsidP="00526E33">
      <w:pPr>
        <w:numPr>
          <w:ilvl w:val="0"/>
          <w:numId w:val="3"/>
        </w:numPr>
        <w:spacing w:before="100" w:beforeAutospacing="1" w:after="100" w:afterAutospacing="1"/>
        <w:rPr>
          <w:rFonts w:eastAsia="Times New Roman" w:cs="Times New Roman"/>
          <w:color w:val="000000"/>
          <w:kern w:val="0"/>
          <w:sz w:val="18"/>
          <w:szCs w:val="18"/>
          <w:lang w:val="en-GB" w:eastAsia="nb-NO"/>
          <w14:ligatures w14:val="none"/>
        </w:rPr>
      </w:pPr>
      <w:r w:rsidRPr="00526E33">
        <w:rPr>
          <w:rFonts w:eastAsia="Times New Roman" w:cs="Times New Roman"/>
          <w:color w:val="000000"/>
          <w:kern w:val="0"/>
          <w:sz w:val="18"/>
          <w:szCs w:val="18"/>
          <w:lang w:val="en-GB" w:eastAsia="nb-NO"/>
          <w14:ligatures w14:val="none"/>
        </w:rPr>
        <w:t>Norwegian Institute of Public Health (FHI). </w:t>
      </w:r>
      <w:r w:rsidRPr="00526E33">
        <w:rPr>
          <w:rFonts w:eastAsia="Times New Roman" w:cs="Times New Roman"/>
          <w:i/>
          <w:iCs/>
          <w:color w:val="000000"/>
          <w:kern w:val="0"/>
          <w:sz w:val="18"/>
          <w:szCs w:val="18"/>
          <w:lang w:val="en-GB" w:eastAsia="nb-NO"/>
          <w14:ligatures w14:val="none"/>
        </w:rPr>
        <w:t>RAND-12 “Din helse”</w:t>
      </w:r>
      <w:r w:rsidRPr="00526E33">
        <w:rPr>
          <w:rFonts w:eastAsia="Times New Roman" w:cs="Times New Roman"/>
          <w:color w:val="000000"/>
          <w:kern w:val="0"/>
          <w:sz w:val="18"/>
          <w:szCs w:val="18"/>
          <w:lang w:val="en-GB" w:eastAsia="nb-NO"/>
          <w14:ligatures w14:val="none"/>
        </w:rPr>
        <w:t> (Norwegian RAND-12 translation), Norwegian version 1. Accessed January 2026.</w:t>
      </w:r>
    </w:p>
    <w:p w14:paraId="047F2821" w14:textId="77777777" w:rsidR="00560253" w:rsidRPr="001B7DC8" w:rsidRDefault="00560253">
      <w:pPr>
        <w:rPr>
          <w:sz w:val="18"/>
          <w:szCs w:val="18"/>
          <w:lang w:val="en-GB"/>
        </w:rPr>
      </w:pPr>
    </w:p>
    <w:sectPr w:rsidR="00560253" w:rsidRPr="001B7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6127"/>
    <w:multiLevelType w:val="multilevel"/>
    <w:tmpl w:val="9EDE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2C5DCF"/>
    <w:multiLevelType w:val="multilevel"/>
    <w:tmpl w:val="23421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D0278"/>
    <w:multiLevelType w:val="multilevel"/>
    <w:tmpl w:val="DD20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6126D"/>
    <w:multiLevelType w:val="multilevel"/>
    <w:tmpl w:val="358C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B545F"/>
    <w:multiLevelType w:val="hybridMultilevel"/>
    <w:tmpl w:val="06367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6994648">
    <w:abstractNumId w:val="1"/>
  </w:num>
  <w:num w:numId="2" w16cid:durableId="1480802541">
    <w:abstractNumId w:val="2"/>
  </w:num>
  <w:num w:numId="3" w16cid:durableId="2113284993">
    <w:abstractNumId w:val="0"/>
  </w:num>
  <w:num w:numId="4" w16cid:durableId="1359358776">
    <w:abstractNumId w:val="3"/>
  </w:num>
  <w:num w:numId="5" w16cid:durableId="808211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33"/>
    <w:rsid w:val="001B7DC8"/>
    <w:rsid w:val="003910D7"/>
    <w:rsid w:val="00396A80"/>
    <w:rsid w:val="00526E33"/>
    <w:rsid w:val="00560253"/>
    <w:rsid w:val="00785B59"/>
    <w:rsid w:val="007C101E"/>
    <w:rsid w:val="00BF4A36"/>
    <w:rsid w:val="00DB40B5"/>
    <w:rsid w:val="00FE62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162B"/>
  <w15:chartTrackingRefBased/>
  <w15:docId w15:val="{3BB8426F-EC60-474A-85CC-79B44406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6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6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E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E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E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E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6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E33"/>
    <w:rPr>
      <w:rFonts w:eastAsiaTheme="majorEastAsia" w:cstheme="majorBidi"/>
      <w:color w:val="272727" w:themeColor="text1" w:themeTint="D8"/>
    </w:rPr>
  </w:style>
  <w:style w:type="paragraph" w:styleId="Title">
    <w:name w:val="Title"/>
    <w:basedOn w:val="Normal"/>
    <w:next w:val="Normal"/>
    <w:link w:val="TitleChar"/>
    <w:uiPriority w:val="10"/>
    <w:qFormat/>
    <w:rsid w:val="00526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E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6E33"/>
    <w:rPr>
      <w:i/>
      <w:iCs/>
      <w:color w:val="404040" w:themeColor="text1" w:themeTint="BF"/>
    </w:rPr>
  </w:style>
  <w:style w:type="paragraph" w:styleId="ListParagraph">
    <w:name w:val="List Paragraph"/>
    <w:basedOn w:val="Normal"/>
    <w:uiPriority w:val="34"/>
    <w:qFormat/>
    <w:rsid w:val="00526E33"/>
    <w:pPr>
      <w:ind w:left="720"/>
      <w:contextualSpacing/>
    </w:pPr>
  </w:style>
  <w:style w:type="character" w:styleId="IntenseEmphasis">
    <w:name w:val="Intense Emphasis"/>
    <w:basedOn w:val="DefaultParagraphFont"/>
    <w:uiPriority w:val="21"/>
    <w:qFormat/>
    <w:rsid w:val="00526E33"/>
    <w:rPr>
      <w:i/>
      <w:iCs/>
      <w:color w:val="0F4761" w:themeColor="accent1" w:themeShade="BF"/>
    </w:rPr>
  </w:style>
  <w:style w:type="paragraph" w:styleId="IntenseQuote">
    <w:name w:val="Intense Quote"/>
    <w:basedOn w:val="Normal"/>
    <w:next w:val="Normal"/>
    <w:link w:val="IntenseQuoteChar"/>
    <w:uiPriority w:val="30"/>
    <w:qFormat/>
    <w:rsid w:val="00526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E33"/>
    <w:rPr>
      <w:i/>
      <w:iCs/>
      <w:color w:val="0F4761" w:themeColor="accent1" w:themeShade="BF"/>
    </w:rPr>
  </w:style>
  <w:style w:type="character" w:styleId="IntenseReference">
    <w:name w:val="Intense Reference"/>
    <w:basedOn w:val="DefaultParagraphFont"/>
    <w:uiPriority w:val="32"/>
    <w:qFormat/>
    <w:rsid w:val="00526E33"/>
    <w:rPr>
      <w:b/>
      <w:bCs/>
      <w:smallCaps/>
      <w:color w:val="0F4761" w:themeColor="accent1" w:themeShade="BF"/>
      <w:spacing w:val="5"/>
    </w:rPr>
  </w:style>
  <w:style w:type="paragraph" w:styleId="NormalWeb">
    <w:name w:val="Normal (Web)"/>
    <w:basedOn w:val="Normal"/>
    <w:uiPriority w:val="99"/>
    <w:semiHidden/>
    <w:unhideWhenUsed/>
    <w:rsid w:val="00526E33"/>
    <w:pPr>
      <w:spacing w:before="100" w:beforeAutospacing="1" w:after="100" w:afterAutospacing="1"/>
    </w:pPr>
    <w:rPr>
      <w:rFonts w:ascii="Times New Roman" w:eastAsia="Times New Roman" w:hAnsi="Times New Roman" w:cs="Times New Roman"/>
      <w:kern w:val="0"/>
      <w:lang w:eastAsia="nb-NO"/>
      <w14:ligatures w14:val="none"/>
    </w:rPr>
  </w:style>
  <w:style w:type="character" w:styleId="Strong">
    <w:name w:val="Strong"/>
    <w:basedOn w:val="DefaultParagraphFont"/>
    <w:uiPriority w:val="22"/>
    <w:qFormat/>
    <w:rsid w:val="00526E33"/>
    <w:rPr>
      <w:b/>
      <w:bCs/>
    </w:rPr>
  </w:style>
  <w:style w:type="character" w:customStyle="1" w:styleId="apple-converted-space">
    <w:name w:val="apple-converted-space"/>
    <w:basedOn w:val="DefaultParagraphFont"/>
    <w:rsid w:val="00526E33"/>
  </w:style>
  <w:style w:type="character" w:styleId="Emphasis">
    <w:name w:val="Emphasis"/>
    <w:basedOn w:val="DefaultParagraphFont"/>
    <w:uiPriority w:val="20"/>
    <w:qFormat/>
    <w:rsid w:val="00526E33"/>
    <w:rPr>
      <w:i/>
      <w:iCs/>
    </w:rPr>
  </w:style>
  <w:style w:type="table" w:styleId="TableGrid">
    <w:name w:val="Table Grid"/>
    <w:basedOn w:val="TableNormal"/>
    <w:uiPriority w:val="59"/>
    <w:rsid w:val="00526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785B59"/>
  </w:style>
  <w:style w:type="character" w:customStyle="1" w:styleId="t286pc">
    <w:name w:val="t286pc"/>
    <w:basedOn w:val="DefaultParagraphFont"/>
    <w:rsid w:val="00785B59"/>
  </w:style>
  <w:style w:type="paragraph" w:styleId="NoSpacing">
    <w:name w:val="No Spacing"/>
    <w:uiPriority w:val="1"/>
    <w:qFormat/>
    <w:rsid w:val="0078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2306</Words>
  <Characters>14140</Characters>
  <Application>Microsoft Office Word</Application>
  <DocSecurity>0</DocSecurity>
  <Lines>487</Lines>
  <Paragraphs>304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Løchen</dc:creator>
  <cp:keywords/>
  <dc:description/>
  <cp:lastModifiedBy>Marcus Mossberg</cp:lastModifiedBy>
  <cp:revision>2</cp:revision>
  <dcterms:created xsi:type="dcterms:W3CDTF">2026-01-14T11:01:00Z</dcterms:created>
  <dcterms:modified xsi:type="dcterms:W3CDTF">2026-01-14T11:01:00Z</dcterms:modified>
</cp:coreProperties>
</file>